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3E1F" w14:textId="77777777" w:rsidR="00C275CB" w:rsidRPr="00745AD0" w:rsidRDefault="00C275CB" w:rsidP="00BF55DF">
      <w:pPr>
        <w:spacing w:line="276" w:lineRule="auto"/>
        <w:ind w:right="-489"/>
        <w:jc w:val="both"/>
        <w:rPr>
          <w:sz w:val="6"/>
          <w:szCs w:val="8"/>
        </w:rPr>
      </w:pPr>
    </w:p>
    <w:p w14:paraId="3B0CBD05" w14:textId="77777777" w:rsidR="003A4C7A" w:rsidRDefault="003A4C7A" w:rsidP="00CB4AB4">
      <w:pPr>
        <w:spacing w:line="276" w:lineRule="auto"/>
        <w:ind w:right="-489"/>
        <w:jc w:val="both"/>
      </w:pPr>
    </w:p>
    <w:p w14:paraId="4864AFB2" w14:textId="66ABCAEC" w:rsidR="00CB4AB4" w:rsidRPr="00CB4AB4" w:rsidRDefault="0024006D" w:rsidP="00CB4AB4">
      <w:pPr>
        <w:spacing w:line="276" w:lineRule="auto"/>
        <w:ind w:right="-489"/>
        <w:jc w:val="both"/>
      </w:pPr>
      <w:r>
        <w:t>1</w:t>
      </w:r>
      <w:r w:rsidR="003C6300">
        <w:t>8</w:t>
      </w:r>
      <w:r w:rsidR="00CB4AB4" w:rsidRPr="00CB4AB4">
        <w:t>/0</w:t>
      </w:r>
      <w:r>
        <w:t>2</w:t>
      </w:r>
      <w:r w:rsidR="00CB4AB4" w:rsidRPr="00CB4AB4">
        <w:t>/2022</w:t>
      </w:r>
    </w:p>
    <w:p w14:paraId="59B51BAD" w14:textId="77777777" w:rsidR="00CB4AB4" w:rsidRPr="00CB4AB4" w:rsidRDefault="00CB4AB4" w:rsidP="00CB4AB4">
      <w:pPr>
        <w:spacing w:line="276" w:lineRule="auto"/>
        <w:ind w:right="-489"/>
        <w:jc w:val="both"/>
        <w:rPr>
          <w:szCs w:val="22"/>
        </w:rPr>
      </w:pPr>
      <w:r w:rsidRPr="00CB4AB4">
        <w:rPr>
          <w:szCs w:val="22"/>
        </w:rPr>
        <w:t>Trade Remedies Authority</w:t>
      </w:r>
    </w:p>
    <w:p w14:paraId="13F397CA" w14:textId="77777777" w:rsidR="00CB4AB4" w:rsidRPr="00CB4AB4" w:rsidRDefault="00CB4AB4" w:rsidP="00CB4AB4">
      <w:pPr>
        <w:spacing w:line="276" w:lineRule="auto"/>
        <w:ind w:right="-489"/>
        <w:jc w:val="both"/>
        <w:rPr>
          <w:szCs w:val="22"/>
        </w:rPr>
      </w:pPr>
      <w:r w:rsidRPr="00CB4AB4">
        <w:rPr>
          <w:szCs w:val="22"/>
        </w:rPr>
        <w:t>North Gate House</w:t>
      </w:r>
    </w:p>
    <w:p w14:paraId="0312CEFE" w14:textId="77777777" w:rsidR="00CB4AB4" w:rsidRPr="00CB4AB4" w:rsidRDefault="00CB4AB4" w:rsidP="00CB4AB4">
      <w:pPr>
        <w:spacing w:line="276" w:lineRule="auto"/>
        <w:ind w:right="-489"/>
        <w:jc w:val="both"/>
        <w:rPr>
          <w:szCs w:val="22"/>
        </w:rPr>
      </w:pPr>
      <w:r w:rsidRPr="00CB4AB4">
        <w:rPr>
          <w:szCs w:val="22"/>
        </w:rPr>
        <w:t>21-23 Valpy Street</w:t>
      </w:r>
    </w:p>
    <w:p w14:paraId="039B9901" w14:textId="77777777" w:rsidR="00CB4AB4" w:rsidRPr="00CB4AB4" w:rsidRDefault="00CB4AB4" w:rsidP="00CB4AB4">
      <w:pPr>
        <w:spacing w:line="276" w:lineRule="auto"/>
        <w:ind w:right="-489"/>
        <w:jc w:val="both"/>
        <w:rPr>
          <w:szCs w:val="22"/>
        </w:rPr>
      </w:pPr>
      <w:r w:rsidRPr="00CB4AB4">
        <w:rPr>
          <w:szCs w:val="22"/>
        </w:rPr>
        <w:t>Reading</w:t>
      </w:r>
    </w:p>
    <w:p w14:paraId="03496DB9" w14:textId="3D2EA1F6" w:rsidR="00CB4AB4" w:rsidRPr="00CB4AB4" w:rsidRDefault="00CB4AB4" w:rsidP="00CB4AB4">
      <w:pPr>
        <w:spacing w:line="276" w:lineRule="auto"/>
        <w:ind w:right="-489"/>
        <w:jc w:val="both"/>
        <w:rPr>
          <w:szCs w:val="22"/>
        </w:rPr>
      </w:pPr>
      <w:r w:rsidRPr="00CB4AB4">
        <w:rPr>
          <w:szCs w:val="22"/>
        </w:rPr>
        <w:t>RG1 1AF</w:t>
      </w:r>
    </w:p>
    <w:p w14:paraId="41082E96" w14:textId="72BC3E02" w:rsidR="00CB4AB4" w:rsidRDefault="00CB4AB4" w:rsidP="00CB4AB4">
      <w:pPr>
        <w:spacing w:line="276" w:lineRule="auto"/>
        <w:ind w:right="-489"/>
        <w:jc w:val="both"/>
        <w:rPr>
          <w:b/>
          <w:bCs/>
          <w:sz w:val="20"/>
          <w:szCs w:val="22"/>
        </w:rPr>
      </w:pPr>
    </w:p>
    <w:p w14:paraId="3AA3C0B9" w14:textId="77777777" w:rsidR="003A4C7A" w:rsidRPr="00CB4AB4" w:rsidRDefault="003A4C7A" w:rsidP="00CB4AB4">
      <w:pPr>
        <w:spacing w:line="276" w:lineRule="auto"/>
        <w:ind w:right="-489"/>
        <w:jc w:val="both"/>
        <w:rPr>
          <w:b/>
          <w:bCs/>
          <w:sz w:val="20"/>
          <w:szCs w:val="22"/>
        </w:rPr>
      </w:pPr>
    </w:p>
    <w:p w14:paraId="61E3426D" w14:textId="65DD4649" w:rsidR="008815A3" w:rsidRDefault="00B60AAE" w:rsidP="00BF55DF">
      <w:pPr>
        <w:spacing w:line="276" w:lineRule="auto"/>
        <w:ind w:right="-489"/>
        <w:jc w:val="both"/>
        <w:rPr>
          <w:b/>
          <w:bCs/>
          <w:sz w:val="28"/>
          <w:szCs w:val="32"/>
        </w:rPr>
      </w:pPr>
      <w:r w:rsidRPr="00182F9D">
        <w:rPr>
          <w:b/>
          <w:bCs/>
          <w:sz w:val="28"/>
          <w:szCs w:val="32"/>
        </w:rPr>
        <w:t xml:space="preserve">Response to </w:t>
      </w:r>
      <w:r w:rsidR="004B263A">
        <w:rPr>
          <w:b/>
          <w:bCs/>
          <w:sz w:val="28"/>
          <w:szCs w:val="32"/>
        </w:rPr>
        <w:t>Safeguard Mid-Term Review</w:t>
      </w:r>
      <w:r w:rsidR="00F077D5">
        <w:rPr>
          <w:b/>
          <w:bCs/>
          <w:sz w:val="28"/>
          <w:szCs w:val="32"/>
        </w:rPr>
        <w:t xml:space="preserve"> </w:t>
      </w:r>
      <w:r w:rsidR="00F17171">
        <w:rPr>
          <w:b/>
          <w:bCs/>
          <w:sz w:val="28"/>
          <w:szCs w:val="32"/>
        </w:rPr>
        <w:t>(NON-CONFIDENTIAL)</w:t>
      </w:r>
    </w:p>
    <w:p w14:paraId="11BC0C09" w14:textId="1A6D2ACF" w:rsidR="004B263A" w:rsidRDefault="004B263A" w:rsidP="00BF55DF">
      <w:pPr>
        <w:spacing w:line="276" w:lineRule="auto"/>
        <w:ind w:right="-489"/>
        <w:jc w:val="both"/>
        <w:rPr>
          <w:b/>
          <w:bCs/>
          <w:sz w:val="28"/>
          <w:szCs w:val="32"/>
        </w:rPr>
      </w:pPr>
      <w:r w:rsidRPr="004B263A">
        <w:rPr>
          <w:b/>
          <w:bCs/>
          <w:sz w:val="28"/>
          <w:szCs w:val="32"/>
        </w:rPr>
        <w:t xml:space="preserve">SM0015 TRQ Review </w:t>
      </w:r>
      <w:r>
        <w:rPr>
          <w:b/>
          <w:bCs/>
          <w:sz w:val="28"/>
          <w:szCs w:val="32"/>
        </w:rPr>
        <w:t>C</w:t>
      </w:r>
      <w:r w:rsidRPr="004B263A">
        <w:rPr>
          <w:b/>
          <w:bCs/>
          <w:sz w:val="28"/>
          <w:szCs w:val="32"/>
        </w:rPr>
        <w:t xml:space="preserve">ertain </w:t>
      </w:r>
      <w:r>
        <w:rPr>
          <w:b/>
          <w:bCs/>
          <w:sz w:val="28"/>
          <w:szCs w:val="32"/>
        </w:rPr>
        <w:t>S</w:t>
      </w:r>
      <w:r w:rsidRPr="004B263A">
        <w:rPr>
          <w:b/>
          <w:bCs/>
          <w:sz w:val="28"/>
          <w:szCs w:val="32"/>
        </w:rPr>
        <w:t xml:space="preserve">teel </w:t>
      </w:r>
      <w:r>
        <w:rPr>
          <w:b/>
          <w:bCs/>
          <w:sz w:val="28"/>
          <w:szCs w:val="32"/>
        </w:rPr>
        <w:t>P</w:t>
      </w:r>
      <w:r w:rsidRPr="004B263A">
        <w:rPr>
          <w:b/>
          <w:bCs/>
          <w:sz w:val="28"/>
          <w:szCs w:val="32"/>
        </w:rPr>
        <w:t>ro</w:t>
      </w:r>
      <w:r>
        <w:rPr>
          <w:b/>
          <w:bCs/>
          <w:sz w:val="28"/>
          <w:szCs w:val="32"/>
        </w:rPr>
        <w:t>ducts</w:t>
      </w:r>
    </w:p>
    <w:p w14:paraId="099488A1" w14:textId="12F9BC5E" w:rsidR="00A46905" w:rsidRPr="00182F9D" w:rsidRDefault="00A46905" w:rsidP="00BF55DF">
      <w:pPr>
        <w:spacing w:line="276" w:lineRule="auto"/>
        <w:ind w:right="-489"/>
        <w:jc w:val="both"/>
        <w:rPr>
          <w:b/>
          <w:bCs/>
          <w:sz w:val="28"/>
          <w:szCs w:val="32"/>
        </w:rPr>
      </w:pPr>
      <w:r>
        <w:rPr>
          <w:b/>
          <w:bCs/>
          <w:sz w:val="28"/>
          <w:szCs w:val="32"/>
        </w:rPr>
        <w:t>Black Country Local Enterprise Partnership (LEP)</w:t>
      </w:r>
    </w:p>
    <w:p w14:paraId="0D2DDE7E" w14:textId="645E7446" w:rsidR="007C3F01" w:rsidRDefault="007C3F01" w:rsidP="00BF55DF">
      <w:pPr>
        <w:spacing w:line="276" w:lineRule="auto"/>
        <w:ind w:right="-489"/>
        <w:jc w:val="both"/>
        <w:rPr>
          <w:b/>
          <w:bCs/>
        </w:rPr>
      </w:pPr>
    </w:p>
    <w:p w14:paraId="169F95F2" w14:textId="1B1E0FC5" w:rsidR="00745AD0" w:rsidRDefault="00745AD0" w:rsidP="00BF55DF">
      <w:pPr>
        <w:spacing w:line="276" w:lineRule="auto"/>
        <w:ind w:right="-489"/>
        <w:jc w:val="both"/>
        <w:rPr>
          <w:b/>
          <w:bCs/>
          <w:sz w:val="10"/>
          <w:szCs w:val="12"/>
        </w:rPr>
      </w:pPr>
    </w:p>
    <w:p w14:paraId="6B4FC30B" w14:textId="77777777" w:rsidR="003A4C7A" w:rsidRPr="007776DC" w:rsidRDefault="003A4C7A" w:rsidP="00BF55DF">
      <w:pPr>
        <w:spacing w:line="276" w:lineRule="auto"/>
        <w:ind w:right="-489"/>
        <w:jc w:val="both"/>
        <w:rPr>
          <w:b/>
          <w:bCs/>
          <w:sz w:val="10"/>
          <w:szCs w:val="12"/>
        </w:rPr>
      </w:pPr>
    </w:p>
    <w:p w14:paraId="04220F56" w14:textId="77777777" w:rsidR="00B31790" w:rsidRPr="007676B0" w:rsidRDefault="00B31790" w:rsidP="00B31790">
      <w:pPr>
        <w:spacing w:line="276" w:lineRule="auto"/>
        <w:ind w:right="-489"/>
        <w:jc w:val="both"/>
        <w:rPr>
          <w:b/>
          <w:bCs/>
          <w:sz w:val="24"/>
          <w:szCs w:val="28"/>
        </w:rPr>
      </w:pPr>
      <w:r w:rsidRPr="007676B0">
        <w:rPr>
          <w:b/>
          <w:bCs/>
          <w:sz w:val="24"/>
          <w:szCs w:val="28"/>
        </w:rPr>
        <w:t>Summary of Response</w:t>
      </w:r>
    </w:p>
    <w:p w14:paraId="29B31389" w14:textId="27F7F762" w:rsidR="00B31790" w:rsidRDefault="00B31790" w:rsidP="00B31790">
      <w:pPr>
        <w:spacing w:line="276" w:lineRule="auto"/>
        <w:ind w:right="-489"/>
        <w:jc w:val="both"/>
        <w:rPr>
          <w:b/>
          <w:bCs/>
        </w:rPr>
      </w:pPr>
    </w:p>
    <w:p w14:paraId="4ADDA8B9" w14:textId="5493E003" w:rsidR="007776DC" w:rsidRPr="004B5D58" w:rsidRDefault="007776DC" w:rsidP="007776DC">
      <w:pPr>
        <w:rPr>
          <w:rFonts w:eastAsia="Calibri"/>
          <w:szCs w:val="22"/>
        </w:rPr>
      </w:pPr>
      <w:r w:rsidRPr="004B5D58">
        <w:rPr>
          <w:rFonts w:eastAsia="Calibri"/>
          <w:szCs w:val="22"/>
        </w:rPr>
        <w:t xml:space="preserve">To support an inclusive, green recovery that truly drives levelling-up, the </w:t>
      </w:r>
      <w:r w:rsidRPr="004B5D58">
        <w:rPr>
          <w:rFonts w:eastAsia="Calibri"/>
          <w:b/>
          <w:bCs/>
          <w:szCs w:val="22"/>
        </w:rPr>
        <w:t>UK needs access to globally competitive steel sources and supply chains, currently restrained by quotas and tariffs caused by steel safeguarding measures.</w:t>
      </w:r>
      <w:r w:rsidRPr="004B5D58">
        <w:rPr>
          <w:rFonts w:eastAsia="Calibri"/>
          <w:b/>
          <w:bCs/>
          <w:szCs w:val="22"/>
          <w:vertAlign w:val="superscript"/>
        </w:rPr>
        <w:footnoteReference w:id="1"/>
      </w:r>
      <w:r w:rsidRPr="004B5D58">
        <w:rPr>
          <w:rFonts w:eastAsia="Calibri"/>
          <w:szCs w:val="22"/>
        </w:rPr>
        <w:t xml:space="preserve"> This is required until </w:t>
      </w:r>
      <w:r>
        <w:rPr>
          <w:rFonts w:eastAsia="Calibri"/>
          <w:szCs w:val="22"/>
        </w:rPr>
        <w:t>conditions allow for a</w:t>
      </w:r>
      <w:r w:rsidR="006E719E">
        <w:rPr>
          <w:rFonts w:eastAsia="Calibri"/>
          <w:szCs w:val="22"/>
        </w:rPr>
        <w:t>n</w:t>
      </w:r>
      <w:r>
        <w:rPr>
          <w:rFonts w:eastAsia="Calibri"/>
          <w:szCs w:val="22"/>
        </w:rPr>
        <w:t xml:space="preserve"> efficient and sustainable </w:t>
      </w:r>
      <w:r w:rsidRPr="004B5D58">
        <w:rPr>
          <w:rFonts w:eastAsia="Calibri"/>
          <w:szCs w:val="22"/>
        </w:rPr>
        <w:t xml:space="preserve">British steel industry </w:t>
      </w:r>
      <w:r>
        <w:rPr>
          <w:rFonts w:eastAsia="Calibri"/>
          <w:szCs w:val="22"/>
        </w:rPr>
        <w:t>that can sustainably supply at the volume demanded.</w:t>
      </w:r>
      <w:r w:rsidR="000B57EC">
        <w:rPr>
          <w:rFonts w:eastAsia="Calibri"/>
          <w:szCs w:val="22"/>
        </w:rPr>
        <w:t xml:space="preserve"> </w:t>
      </w:r>
    </w:p>
    <w:p w14:paraId="349EA696" w14:textId="77777777" w:rsidR="007776DC" w:rsidRPr="009E7981" w:rsidRDefault="007776DC" w:rsidP="007776DC">
      <w:pPr>
        <w:rPr>
          <w:rFonts w:eastAsia="Calibri"/>
          <w:szCs w:val="22"/>
        </w:rPr>
      </w:pPr>
    </w:p>
    <w:p w14:paraId="76A81B58" w14:textId="00D6616F" w:rsidR="007776DC" w:rsidRPr="007776DC" w:rsidRDefault="007776DC" w:rsidP="007776DC">
      <w:pPr>
        <w:rPr>
          <w:rFonts w:eastAsia="Calibri"/>
          <w:b/>
          <w:bCs/>
          <w:szCs w:val="22"/>
        </w:rPr>
      </w:pPr>
      <w:r w:rsidRPr="004B5D58">
        <w:rPr>
          <w:rFonts w:eastAsia="Calibri"/>
          <w:szCs w:val="22"/>
        </w:rPr>
        <w:t>To ensure the whole industry is as unburdened and competitive as possible,</w:t>
      </w:r>
      <w:r>
        <w:rPr>
          <w:rFonts w:eastAsia="Calibri"/>
          <w:szCs w:val="22"/>
        </w:rPr>
        <w:t xml:space="preserve"> a</w:t>
      </w:r>
      <w:r w:rsidRPr="009E4C2C">
        <w:rPr>
          <w:rFonts w:ascii="Calibri" w:eastAsia="Calibri" w:hAnsi="Calibri" w:cs="Times New Roman"/>
          <w:szCs w:val="22"/>
        </w:rPr>
        <w:t xml:space="preserve"> </w:t>
      </w:r>
      <w:r w:rsidRPr="009E4C2C">
        <w:rPr>
          <w:rFonts w:eastAsia="Calibri"/>
          <w:szCs w:val="22"/>
        </w:rPr>
        <w:t xml:space="preserve">re-balancing </w:t>
      </w:r>
      <w:r>
        <w:rPr>
          <w:rFonts w:eastAsia="Calibri"/>
          <w:szCs w:val="22"/>
        </w:rPr>
        <w:t xml:space="preserve">of the </w:t>
      </w:r>
      <w:r w:rsidRPr="009E4C2C">
        <w:rPr>
          <w:rFonts w:eastAsia="Calibri"/>
          <w:szCs w:val="22"/>
        </w:rPr>
        <w:t>steel quotas</w:t>
      </w:r>
      <w:r>
        <w:rPr>
          <w:rFonts w:eastAsia="Calibri"/>
          <w:szCs w:val="22"/>
        </w:rPr>
        <w:t xml:space="preserve"> system is required. </w:t>
      </w:r>
      <w:r w:rsidRPr="008B1748">
        <w:rPr>
          <w:rFonts w:eastAsia="Calibri"/>
          <w:b/>
          <w:bCs/>
          <w:szCs w:val="22"/>
        </w:rPr>
        <w:t>While elements of the</w:t>
      </w:r>
      <w:r w:rsidR="003C03AE">
        <w:rPr>
          <w:rFonts w:eastAsia="Calibri"/>
          <w:b/>
          <w:bCs/>
          <w:szCs w:val="22"/>
        </w:rPr>
        <w:t xml:space="preserve"> Trade Remedies Authority’s</w:t>
      </w:r>
      <w:r w:rsidRPr="008B1748">
        <w:rPr>
          <w:rFonts w:eastAsia="Calibri"/>
          <w:b/>
          <w:bCs/>
          <w:szCs w:val="22"/>
        </w:rPr>
        <w:t xml:space="preserve"> </w:t>
      </w:r>
      <w:r w:rsidR="007B7E2E">
        <w:rPr>
          <w:rFonts w:eastAsia="Calibri"/>
          <w:b/>
          <w:bCs/>
          <w:szCs w:val="22"/>
        </w:rPr>
        <w:t>(</w:t>
      </w:r>
      <w:r w:rsidRPr="008B1748">
        <w:rPr>
          <w:rFonts w:eastAsia="Calibri"/>
          <w:b/>
          <w:bCs/>
          <w:szCs w:val="22"/>
        </w:rPr>
        <w:t>TRA</w:t>
      </w:r>
      <w:r w:rsidR="007B7E2E">
        <w:rPr>
          <w:rFonts w:eastAsia="Calibri"/>
          <w:b/>
          <w:bCs/>
          <w:szCs w:val="22"/>
        </w:rPr>
        <w:t>)</w:t>
      </w:r>
      <w:r w:rsidRPr="008B1748">
        <w:rPr>
          <w:rFonts w:eastAsia="Calibri"/>
          <w:b/>
          <w:bCs/>
          <w:szCs w:val="22"/>
        </w:rPr>
        <w:t xml:space="preserve"> initial review of safeguards</w:t>
      </w:r>
      <w:r>
        <w:rPr>
          <w:rStyle w:val="FootnoteReference"/>
          <w:rFonts w:eastAsia="Calibri"/>
          <w:b/>
          <w:bCs/>
          <w:szCs w:val="22"/>
        </w:rPr>
        <w:footnoteReference w:id="2"/>
      </w:r>
      <w:r w:rsidRPr="008B1748">
        <w:rPr>
          <w:rFonts w:eastAsia="Calibri"/>
          <w:b/>
          <w:bCs/>
          <w:szCs w:val="22"/>
        </w:rPr>
        <w:t xml:space="preserve"> took positive steps</w:t>
      </w:r>
      <w:r>
        <w:rPr>
          <w:rFonts w:eastAsia="Calibri"/>
          <w:b/>
          <w:bCs/>
          <w:szCs w:val="22"/>
        </w:rPr>
        <w:t xml:space="preserve">, </w:t>
      </w:r>
      <w:r w:rsidRPr="008B1748">
        <w:rPr>
          <w:rFonts w:eastAsia="Calibri"/>
          <w:b/>
          <w:bCs/>
          <w:szCs w:val="22"/>
        </w:rPr>
        <w:t xml:space="preserve">further </w:t>
      </w:r>
      <w:r>
        <w:rPr>
          <w:rFonts w:eastAsia="Calibri"/>
          <w:b/>
          <w:bCs/>
          <w:szCs w:val="22"/>
        </w:rPr>
        <w:t>changes</w:t>
      </w:r>
      <w:r w:rsidRPr="008B1748">
        <w:rPr>
          <w:rFonts w:eastAsia="Calibri"/>
          <w:b/>
          <w:bCs/>
          <w:szCs w:val="22"/>
        </w:rPr>
        <w:t xml:space="preserve"> are required in addition to implementation by government.  </w:t>
      </w:r>
    </w:p>
    <w:p w14:paraId="40279DCD" w14:textId="77777777" w:rsidR="007776DC" w:rsidRDefault="007776DC" w:rsidP="00B31790">
      <w:pPr>
        <w:spacing w:line="276" w:lineRule="auto"/>
        <w:ind w:right="-489"/>
        <w:jc w:val="both"/>
      </w:pPr>
    </w:p>
    <w:p w14:paraId="7D90E1CB" w14:textId="77777777" w:rsidR="00357D5A" w:rsidRDefault="0020131E" w:rsidP="00B31790">
      <w:pPr>
        <w:spacing w:line="276" w:lineRule="auto"/>
        <w:ind w:right="-489"/>
        <w:jc w:val="both"/>
      </w:pPr>
      <w:r>
        <w:t xml:space="preserve">The Black Country, comprising the four local authority areas of Dudley, Sandwell, Walsall and Wolverhampton, </w:t>
      </w:r>
      <w:r w:rsidR="00E97233">
        <w:t xml:space="preserve">has an historic connection to the steel industry and wider metals </w:t>
      </w:r>
      <w:r w:rsidR="00F905A1">
        <w:t xml:space="preserve">sector </w:t>
      </w:r>
      <w:r w:rsidR="000A0D02">
        <w:t xml:space="preserve">– remaining </w:t>
      </w:r>
      <w:r w:rsidR="00767CC2">
        <w:t xml:space="preserve">to </w:t>
      </w:r>
      <w:r w:rsidR="000A0D02">
        <w:t>the present day</w:t>
      </w:r>
      <w:r w:rsidR="000A0D02" w:rsidRPr="00226DAA">
        <w:rPr>
          <w:b/>
          <w:bCs/>
        </w:rPr>
        <w:t>.</w:t>
      </w:r>
      <w:r w:rsidR="00B619DC" w:rsidRPr="00226DAA">
        <w:rPr>
          <w:b/>
          <w:bCs/>
        </w:rPr>
        <w:t xml:space="preserve"> </w:t>
      </w:r>
      <w:r w:rsidR="000572DA" w:rsidRPr="00226DAA">
        <w:rPr>
          <w:b/>
          <w:bCs/>
        </w:rPr>
        <w:t>There are 25,000 direct jobs in the Black Country</w:t>
      </w:r>
      <w:r w:rsidR="00271E70" w:rsidRPr="00226DAA">
        <w:rPr>
          <w:b/>
          <w:bCs/>
        </w:rPr>
        <w:t xml:space="preserve">’s </w:t>
      </w:r>
      <w:r w:rsidR="000572DA" w:rsidRPr="00226DAA">
        <w:rPr>
          <w:b/>
          <w:bCs/>
        </w:rPr>
        <w:t>metals sector</w:t>
      </w:r>
      <w:r w:rsidR="008B3C5A" w:rsidRPr="00226DAA">
        <w:rPr>
          <w:b/>
          <w:bCs/>
        </w:rPr>
        <w:t>, provided through almost 1,300 businesses</w:t>
      </w:r>
      <w:r w:rsidR="008B3C5A">
        <w:t>.</w:t>
      </w:r>
      <w:r w:rsidR="008B3C5A">
        <w:rPr>
          <w:rStyle w:val="FootnoteReference"/>
        </w:rPr>
        <w:footnoteReference w:id="3"/>
      </w:r>
      <w:r w:rsidR="004C6B13">
        <w:t xml:space="preserve"> </w:t>
      </w:r>
    </w:p>
    <w:p w14:paraId="581E3F5E" w14:textId="77777777" w:rsidR="00357D5A" w:rsidRDefault="00357D5A" w:rsidP="00B31790">
      <w:pPr>
        <w:spacing w:line="276" w:lineRule="auto"/>
        <w:ind w:right="-489"/>
        <w:jc w:val="both"/>
      </w:pPr>
    </w:p>
    <w:p w14:paraId="6EDA439D" w14:textId="1A41B39A" w:rsidR="00175689" w:rsidRPr="00194FD0" w:rsidRDefault="004C6B13" w:rsidP="00B31790">
      <w:pPr>
        <w:spacing w:line="276" w:lineRule="auto"/>
        <w:ind w:right="-489"/>
        <w:jc w:val="both"/>
        <w:rPr>
          <w:b/>
          <w:bCs/>
        </w:rPr>
      </w:pPr>
      <w:r>
        <w:t xml:space="preserve">Trade flows related to steel goods </w:t>
      </w:r>
      <w:r w:rsidR="00785097">
        <w:t>are</w:t>
      </w:r>
      <w:r>
        <w:t xml:space="preserve"> therefore particularly important </w:t>
      </w:r>
      <w:r w:rsidR="00785097">
        <w:t xml:space="preserve">to the Black Country and wider West Midlands, </w:t>
      </w:r>
      <w:r w:rsidR="00785097" w:rsidRPr="00226DAA">
        <w:rPr>
          <w:b/>
          <w:bCs/>
        </w:rPr>
        <w:t xml:space="preserve">helping retain our efficient and robust supply chains to serve </w:t>
      </w:r>
      <w:r w:rsidR="00745AD0" w:rsidRPr="00226DAA">
        <w:rPr>
          <w:b/>
          <w:bCs/>
        </w:rPr>
        <w:t>markets domestically and all around the world.</w:t>
      </w:r>
      <w:r w:rsidR="00ED6FEB">
        <w:t xml:space="preserve"> Effectively supporting a fair and sustainable steel industry for both producers and </w:t>
      </w:r>
      <w:r w:rsidR="00295DCF">
        <w:t xml:space="preserve">downstream </w:t>
      </w:r>
      <w:r w:rsidR="00ED6FEB">
        <w:t xml:space="preserve">users is critical to enable levelling up in the Black Country and wider region. </w:t>
      </w:r>
      <w:r w:rsidR="00C731C3">
        <w:t xml:space="preserve">This is why </w:t>
      </w:r>
      <w:r w:rsidR="00C731C3" w:rsidRPr="00194FD0">
        <w:rPr>
          <w:b/>
          <w:bCs/>
        </w:rPr>
        <w:t xml:space="preserve">Black Country Local Enterprise Partnership (LEP), supported by the Black Country Chamber of Commerce, and the Confederation for British Metalforming (CBM), responds to the TRA’s </w:t>
      </w:r>
      <w:r w:rsidR="0024006D" w:rsidRPr="0024006D">
        <w:rPr>
          <w:b/>
          <w:bCs/>
          <w:color w:val="000000" w:themeColor="text1"/>
        </w:rPr>
        <w:t>SM0015</w:t>
      </w:r>
      <w:r w:rsidR="0024006D">
        <w:rPr>
          <w:b/>
          <w:bCs/>
          <w:color w:val="FF0000"/>
        </w:rPr>
        <w:t xml:space="preserve"> </w:t>
      </w:r>
      <w:r w:rsidR="00C731C3" w:rsidRPr="00194FD0">
        <w:rPr>
          <w:b/>
          <w:bCs/>
        </w:rPr>
        <w:t>case.</w:t>
      </w:r>
    </w:p>
    <w:p w14:paraId="08B6010E" w14:textId="77777777" w:rsidR="009E4C2C" w:rsidRDefault="009E4C2C" w:rsidP="00B31790">
      <w:pPr>
        <w:rPr>
          <w:rFonts w:eastAsia="Calibri"/>
          <w:szCs w:val="22"/>
        </w:rPr>
      </w:pPr>
    </w:p>
    <w:p w14:paraId="6BB67B41" w14:textId="40E78D36" w:rsidR="00B31790" w:rsidRPr="004B5D58" w:rsidRDefault="001D472E" w:rsidP="00B31790">
      <w:pPr>
        <w:rPr>
          <w:rFonts w:eastAsia="Calibri"/>
          <w:szCs w:val="22"/>
        </w:rPr>
      </w:pPr>
      <w:r>
        <w:rPr>
          <w:rFonts w:eastAsia="Calibri"/>
          <w:szCs w:val="22"/>
        </w:rPr>
        <w:t>In this regard</w:t>
      </w:r>
      <w:r w:rsidR="007776DC">
        <w:rPr>
          <w:rFonts w:eastAsia="Calibri"/>
          <w:szCs w:val="22"/>
        </w:rPr>
        <w:t xml:space="preserve">, our response </w:t>
      </w:r>
      <w:r w:rsidR="00B31790" w:rsidRPr="004B5D58">
        <w:rPr>
          <w:rFonts w:eastAsia="Calibri"/>
          <w:szCs w:val="22"/>
        </w:rPr>
        <w:t xml:space="preserve">to the TRA’s </w:t>
      </w:r>
      <w:r w:rsidR="00B55F68">
        <w:rPr>
          <w:rFonts w:eastAsia="Calibri"/>
          <w:szCs w:val="22"/>
        </w:rPr>
        <w:t>SM0015</w:t>
      </w:r>
      <w:r w:rsidR="00B31790" w:rsidRPr="004B5D58">
        <w:rPr>
          <w:rFonts w:eastAsia="Calibri"/>
          <w:szCs w:val="22"/>
        </w:rPr>
        <w:t xml:space="preserve"> case </w:t>
      </w:r>
      <w:r w:rsidR="007776DC">
        <w:rPr>
          <w:rFonts w:eastAsia="Calibri"/>
          <w:szCs w:val="22"/>
        </w:rPr>
        <w:t>is based on the following</w:t>
      </w:r>
      <w:r w:rsidR="00FC34CF">
        <w:rPr>
          <w:rFonts w:eastAsia="Calibri"/>
          <w:szCs w:val="22"/>
        </w:rPr>
        <w:t xml:space="preserve"> recommendations</w:t>
      </w:r>
      <w:r w:rsidR="009618ED">
        <w:rPr>
          <w:rFonts w:eastAsia="Calibri"/>
          <w:szCs w:val="22"/>
        </w:rPr>
        <w:t xml:space="preserve">, </w:t>
      </w:r>
      <w:r w:rsidR="00505B5A">
        <w:rPr>
          <w:rFonts w:eastAsia="Calibri"/>
          <w:szCs w:val="22"/>
        </w:rPr>
        <w:t>supported by detailed evidence within this submission</w:t>
      </w:r>
      <w:r w:rsidR="00501F75">
        <w:rPr>
          <w:rFonts w:eastAsia="Calibri"/>
          <w:szCs w:val="22"/>
        </w:rPr>
        <w:t xml:space="preserve"> document.</w:t>
      </w:r>
      <w:r w:rsidR="00505B5A">
        <w:rPr>
          <w:rFonts w:eastAsia="Calibri"/>
          <w:szCs w:val="22"/>
        </w:rPr>
        <w:t xml:space="preserve"> </w:t>
      </w:r>
    </w:p>
    <w:p w14:paraId="1D809621" w14:textId="77777777" w:rsidR="00C55E64" w:rsidRPr="002A17CA" w:rsidRDefault="00C55E64" w:rsidP="00C55E64">
      <w:pPr>
        <w:pStyle w:val="ListParagraph"/>
        <w:ind w:left="360"/>
        <w:rPr>
          <w:rFonts w:ascii="Arial" w:eastAsia="Calibri" w:hAnsi="Arial" w:cs="Arial"/>
          <w:sz w:val="12"/>
          <w:szCs w:val="12"/>
        </w:rPr>
      </w:pPr>
    </w:p>
    <w:p w14:paraId="72ABDCD9" w14:textId="77777777" w:rsidR="00691386" w:rsidRPr="00691386" w:rsidRDefault="00691386" w:rsidP="00691386">
      <w:pPr>
        <w:pStyle w:val="ListParagraph"/>
        <w:ind w:left="1211"/>
        <w:rPr>
          <w:rFonts w:ascii="Arial" w:eastAsia="Calibri" w:hAnsi="Arial" w:cs="Arial"/>
          <w:sz w:val="12"/>
          <w:szCs w:val="12"/>
        </w:rPr>
      </w:pPr>
    </w:p>
    <w:p w14:paraId="42A81E4C" w14:textId="19520468" w:rsidR="00B31790" w:rsidRDefault="00B31790" w:rsidP="00B31790">
      <w:pPr>
        <w:pStyle w:val="ListParagraph"/>
        <w:numPr>
          <w:ilvl w:val="0"/>
          <w:numId w:val="12"/>
        </w:numPr>
        <w:rPr>
          <w:rFonts w:ascii="Arial" w:eastAsia="Calibri" w:hAnsi="Arial" w:cs="Arial"/>
          <w:b/>
          <w:bCs/>
        </w:rPr>
      </w:pPr>
      <w:r w:rsidRPr="00FC34CF">
        <w:rPr>
          <w:rFonts w:ascii="Arial" w:eastAsia="Calibri" w:hAnsi="Arial" w:cs="Arial"/>
          <w:b/>
          <w:bCs/>
        </w:rPr>
        <w:t>Category 4</w:t>
      </w:r>
      <w:r w:rsidR="00D85E30">
        <w:rPr>
          <w:rFonts w:ascii="Arial" w:eastAsia="Calibri" w:hAnsi="Arial" w:cs="Arial"/>
          <w:b/>
          <w:bCs/>
        </w:rPr>
        <w:t xml:space="preserve"> Steel Products</w:t>
      </w:r>
      <w:r w:rsidR="002A17CA">
        <w:rPr>
          <w:rFonts w:ascii="Arial" w:eastAsia="Calibri" w:hAnsi="Arial" w:cs="Arial"/>
          <w:b/>
          <w:bCs/>
        </w:rPr>
        <w:t>,</w:t>
      </w:r>
      <w:r w:rsidR="00D85E30">
        <w:rPr>
          <w:rFonts w:ascii="Arial" w:eastAsia="Calibri" w:hAnsi="Arial" w:cs="Arial"/>
          <w:b/>
          <w:bCs/>
        </w:rPr>
        <w:t xml:space="preserve"> </w:t>
      </w:r>
      <w:r w:rsidR="00B86106">
        <w:rPr>
          <w:rFonts w:ascii="Arial" w:eastAsia="Calibri" w:hAnsi="Arial" w:cs="Arial"/>
          <w:b/>
          <w:bCs/>
        </w:rPr>
        <w:t>Metallic Coated Sheets</w:t>
      </w:r>
      <w:r w:rsidR="002A17CA">
        <w:rPr>
          <w:rFonts w:ascii="Arial" w:eastAsia="Calibri" w:hAnsi="Arial" w:cs="Arial"/>
          <w:b/>
          <w:bCs/>
        </w:rPr>
        <w:t xml:space="preserve">: </w:t>
      </w:r>
      <w:r w:rsidR="002A17CA">
        <w:rPr>
          <w:rFonts w:ascii="Arial" w:eastAsia="Calibri" w:hAnsi="Arial" w:cs="Arial"/>
          <w:b/>
          <w:bCs/>
          <w:color w:val="DA0000"/>
        </w:rPr>
        <w:t>IMPLEMENT CHANGE</w:t>
      </w:r>
    </w:p>
    <w:p w14:paraId="19525472" w14:textId="0B5C114E" w:rsidR="00787817" w:rsidRPr="00C55E64" w:rsidRDefault="008E7D4B" w:rsidP="00C55E64">
      <w:pPr>
        <w:pStyle w:val="ListParagraph"/>
        <w:numPr>
          <w:ilvl w:val="0"/>
          <w:numId w:val="19"/>
        </w:numPr>
        <w:rPr>
          <w:rFonts w:ascii="Arial" w:eastAsia="Calibri" w:hAnsi="Arial" w:cs="Arial"/>
          <w:b/>
          <w:bCs/>
        </w:rPr>
      </w:pPr>
      <w:r w:rsidRPr="00C55E64">
        <w:rPr>
          <w:rFonts w:ascii="Arial" w:eastAsia="Calibri" w:hAnsi="Arial" w:cs="Arial"/>
        </w:rPr>
        <w:t xml:space="preserve">We disagree with the TRA’s original recommendation to maintain </w:t>
      </w:r>
      <w:r w:rsidR="007242EE" w:rsidRPr="00C55E64">
        <w:rPr>
          <w:rFonts w:ascii="Arial" w:eastAsia="Calibri" w:hAnsi="Arial" w:cs="Arial"/>
        </w:rPr>
        <w:t xml:space="preserve">the current setup of </w:t>
      </w:r>
      <w:r w:rsidRPr="00C55E64">
        <w:rPr>
          <w:rFonts w:ascii="Arial" w:eastAsia="Calibri" w:hAnsi="Arial" w:cs="Arial"/>
        </w:rPr>
        <w:t>steel safeguarding measures on Category 4 products</w:t>
      </w:r>
      <w:r w:rsidR="00BA01C2" w:rsidRPr="00C55E64">
        <w:rPr>
          <w:rFonts w:ascii="Arial" w:eastAsia="Calibri" w:hAnsi="Arial" w:cs="Arial"/>
        </w:rPr>
        <w:t>.</w:t>
      </w:r>
    </w:p>
    <w:p w14:paraId="35DCFF2A" w14:textId="1ED97B60" w:rsidR="00B219B2" w:rsidRPr="00C55E64" w:rsidRDefault="001C7EBE" w:rsidP="00C55E64">
      <w:pPr>
        <w:pStyle w:val="ListParagraph"/>
        <w:numPr>
          <w:ilvl w:val="0"/>
          <w:numId w:val="19"/>
        </w:numPr>
        <w:rPr>
          <w:rFonts w:ascii="Arial" w:eastAsia="Calibri" w:hAnsi="Arial" w:cs="Arial"/>
        </w:rPr>
      </w:pPr>
      <w:r w:rsidRPr="00C55E64">
        <w:rPr>
          <w:rFonts w:ascii="Arial" w:eastAsia="Calibri" w:hAnsi="Arial" w:cs="Arial"/>
        </w:rPr>
        <w:t xml:space="preserve">Currently, </w:t>
      </w:r>
      <w:r w:rsidR="00B2374C" w:rsidRPr="00C55E64">
        <w:rPr>
          <w:rFonts w:ascii="Arial" w:eastAsia="Calibri" w:hAnsi="Arial" w:cs="Arial"/>
        </w:rPr>
        <w:t xml:space="preserve">UK companies are </w:t>
      </w:r>
      <w:r w:rsidRPr="00C55E64">
        <w:rPr>
          <w:rFonts w:ascii="Arial" w:eastAsia="Calibri" w:hAnsi="Arial" w:cs="Arial"/>
        </w:rPr>
        <w:t>essentially</w:t>
      </w:r>
      <w:r w:rsidR="00683D97" w:rsidRPr="00C55E64">
        <w:rPr>
          <w:rFonts w:ascii="Arial" w:eastAsia="Calibri" w:hAnsi="Arial" w:cs="Arial"/>
        </w:rPr>
        <w:t xml:space="preserve"> </w:t>
      </w:r>
      <w:r w:rsidR="00B2374C" w:rsidRPr="00C55E64">
        <w:rPr>
          <w:rFonts w:ascii="Arial" w:eastAsia="Calibri" w:hAnsi="Arial" w:cs="Arial"/>
        </w:rPr>
        <w:t>limited to importing category 4</w:t>
      </w:r>
      <w:r w:rsidR="00683D97" w:rsidRPr="00C55E64">
        <w:rPr>
          <w:rFonts w:ascii="Arial" w:eastAsia="Calibri" w:hAnsi="Arial" w:cs="Arial"/>
        </w:rPr>
        <w:t xml:space="preserve"> products</w:t>
      </w:r>
      <w:r w:rsidR="00B2374C" w:rsidRPr="00C55E64">
        <w:rPr>
          <w:rFonts w:ascii="Arial" w:eastAsia="Calibri" w:hAnsi="Arial" w:cs="Arial"/>
        </w:rPr>
        <w:t xml:space="preserve"> from outside the EU</w:t>
      </w:r>
      <w:r w:rsidRPr="00C55E64">
        <w:rPr>
          <w:rFonts w:ascii="Arial" w:eastAsia="Calibri" w:hAnsi="Arial" w:cs="Arial"/>
        </w:rPr>
        <w:t xml:space="preserve"> (as we will demonstrate below)</w:t>
      </w:r>
      <w:r w:rsidR="00B2374C" w:rsidRPr="00C55E64">
        <w:rPr>
          <w:rFonts w:ascii="Arial" w:eastAsia="Calibri" w:hAnsi="Arial" w:cs="Arial"/>
        </w:rPr>
        <w:t>, but</w:t>
      </w:r>
      <w:r w:rsidR="00683D97" w:rsidRPr="00C55E64">
        <w:rPr>
          <w:rFonts w:ascii="Arial" w:eastAsia="Calibri" w:hAnsi="Arial" w:cs="Arial"/>
        </w:rPr>
        <w:t xml:space="preserve"> regular</w:t>
      </w:r>
      <w:r w:rsidR="00B2374C" w:rsidRPr="00C55E64">
        <w:rPr>
          <w:rFonts w:ascii="Arial" w:eastAsia="Calibri" w:hAnsi="Arial" w:cs="Arial"/>
        </w:rPr>
        <w:t xml:space="preserve"> imminent quota exhaustion limits flexibility and certainty on the price and viability of importing the product.</w:t>
      </w:r>
    </w:p>
    <w:p w14:paraId="469F228D" w14:textId="7A980D9E" w:rsidR="00B31790" w:rsidRPr="00376120" w:rsidRDefault="00627358" w:rsidP="00C55E64">
      <w:pPr>
        <w:pStyle w:val="ListParagraph"/>
        <w:numPr>
          <w:ilvl w:val="0"/>
          <w:numId w:val="19"/>
        </w:numPr>
        <w:rPr>
          <w:rFonts w:ascii="Arial" w:eastAsia="Calibri" w:hAnsi="Arial" w:cs="Arial"/>
          <w:b/>
          <w:bCs/>
          <w:color w:val="000000" w:themeColor="text1"/>
        </w:rPr>
      </w:pPr>
      <w:r w:rsidRPr="00C55E64">
        <w:rPr>
          <w:rFonts w:ascii="Arial" w:eastAsia="Calibri" w:hAnsi="Arial" w:cs="Arial"/>
          <w:color w:val="000000" w:themeColor="text1"/>
        </w:rPr>
        <w:t xml:space="preserve">It is recommended that the level of </w:t>
      </w:r>
      <w:r w:rsidR="00BA01C2" w:rsidRPr="00C55E64">
        <w:rPr>
          <w:rFonts w:ascii="Arial" w:eastAsia="Calibri" w:hAnsi="Arial" w:cs="Arial"/>
          <w:color w:val="000000" w:themeColor="text1"/>
        </w:rPr>
        <w:t>non-EU quotas</w:t>
      </w:r>
      <w:r w:rsidR="00405714" w:rsidRPr="00C55E64">
        <w:rPr>
          <w:rFonts w:ascii="Arial" w:eastAsia="Calibri" w:hAnsi="Arial" w:cs="Arial"/>
          <w:color w:val="000000" w:themeColor="text1"/>
        </w:rPr>
        <w:t xml:space="preserve"> (e.g. Taiwan, Rest of World)</w:t>
      </w:r>
      <w:r w:rsidR="00BA01C2" w:rsidRPr="00C55E64">
        <w:rPr>
          <w:rFonts w:ascii="Arial" w:eastAsia="Calibri" w:hAnsi="Arial" w:cs="Arial"/>
          <w:color w:val="000000" w:themeColor="text1"/>
        </w:rPr>
        <w:t xml:space="preserve"> for Category 4 produ</w:t>
      </w:r>
      <w:r w:rsidR="0023039C" w:rsidRPr="00C55E64">
        <w:rPr>
          <w:rFonts w:ascii="Arial" w:eastAsia="Calibri" w:hAnsi="Arial" w:cs="Arial"/>
          <w:color w:val="000000" w:themeColor="text1"/>
        </w:rPr>
        <w:t xml:space="preserve">cts </w:t>
      </w:r>
      <w:r w:rsidRPr="00C55E64">
        <w:rPr>
          <w:rFonts w:ascii="Arial" w:eastAsia="Calibri" w:hAnsi="Arial" w:cs="Arial"/>
          <w:color w:val="000000" w:themeColor="text1"/>
        </w:rPr>
        <w:t xml:space="preserve">is increased significantly, </w:t>
      </w:r>
      <w:r w:rsidR="0023039C" w:rsidRPr="00C55E64">
        <w:rPr>
          <w:rFonts w:ascii="Arial" w:eastAsia="Calibri" w:hAnsi="Arial" w:cs="Arial"/>
          <w:color w:val="000000" w:themeColor="text1"/>
        </w:rPr>
        <w:t>support</w:t>
      </w:r>
      <w:r w:rsidRPr="00C55E64">
        <w:rPr>
          <w:rFonts w:ascii="Arial" w:eastAsia="Calibri" w:hAnsi="Arial" w:cs="Arial"/>
          <w:color w:val="000000" w:themeColor="text1"/>
        </w:rPr>
        <w:t>ing</w:t>
      </w:r>
      <w:r w:rsidR="0023039C" w:rsidRPr="00C55E64">
        <w:rPr>
          <w:rFonts w:ascii="Arial" w:eastAsia="Calibri" w:hAnsi="Arial" w:cs="Arial"/>
          <w:color w:val="000000" w:themeColor="text1"/>
        </w:rPr>
        <w:t xml:space="preserve"> import flexibility in the system for these products – reducing </w:t>
      </w:r>
      <w:r w:rsidR="009538C0" w:rsidRPr="00C55E64">
        <w:rPr>
          <w:rFonts w:ascii="Arial" w:eastAsia="Calibri" w:hAnsi="Arial" w:cs="Arial"/>
          <w:color w:val="000000" w:themeColor="text1"/>
        </w:rPr>
        <w:t>delays, costs and lack of adaptability for many businesses</w:t>
      </w:r>
      <w:r w:rsidRPr="00C55E64">
        <w:rPr>
          <w:rFonts w:ascii="Arial" w:eastAsia="Calibri" w:hAnsi="Arial" w:cs="Arial"/>
          <w:color w:val="000000" w:themeColor="text1"/>
        </w:rPr>
        <w:t xml:space="preserve">. Because this action would not require an increase in overall </w:t>
      </w:r>
      <w:r w:rsidR="003A61EF" w:rsidRPr="00C55E64">
        <w:rPr>
          <w:rFonts w:ascii="Arial" w:eastAsia="Calibri" w:hAnsi="Arial" w:cs="Arial"/>
          <w:color w:val="000000" w:themeColor="text1"/>
        </w:rPr>
        <w:t xml:space="preserve">quota volume levels </w:t>
      </w:r>
      <w:r w:rsidR="003C1D9A">
        <w:rPr>
          <w:rFonts w:ascii="Arial" w:eastAsia="Calibri" w:hAnsi="Arial" w:cs="Arial"/>
          <w:color w:val="000000" w:themeColor="text1"/>
        </w:rPr>
        <w:t xml:space="preserve">– which are sufficient </w:t>
      </w:r>
      <w:r w:rsidR="003A61EF" w:rsidRPr="00C55E64">
        <w:rPr>
          <w:rFonts w:ascii="Arial" w:eastAsia="Calibri" w:hAnsi="Arial" w:cs="Arial"/>
          <w:color w:val="000000" w:themeColor="text1"/>
        </w:rPr>
        <w:t>(but rather a redistribution from EU levels),</w:t>
      </w:r>
      <w:r w:rsidR="00AF3CEB" w:rsidRPr="00C55E64">
        <w:rPr>
          <w:rFonts w:ascii="Arial" w:eastAsia="Calibri" w:hAnsi="Arial" w:cs="Arial"/>
          <w:color w:val="000000" w:themeColor="text1"/>
        </w:rPr>
        <w:t xml:space="preserve"> injury to </w:t>
      </w:r>
      <w:r w:rsidR="00A8427C" w:rsidRPr="00C55E64">
        <w:rPr>
          <w:rFonts w:ascii="Arial" w:eastAsia="Calibri" w:hAnsi="Arial" w:cs="Arial"/>
          <w:color w:val="000000" w:themeColor="text1"/>
        </w:rPr>
        <w:t>UK producers</w:t>
      </w:r>
      <w:r w:rsidR="003A61EF" w:rsidRPr="00C55E64">
        <w:rPr>
          <w:rFonts w:ascii="Arial" w:eastAsia="Calibri" w:hAnsi="Arial" w:cs="Arial"/>
          <w:color w:val="000000" w:themeColor="text1"/>
        </w:rPr>
        <w:t xml:space="preserve"> would be avoided</w:t>
      </w:r>
      <w:r w:rsidR="00A8427C" w:rsidRPr="00C55E64">
        <w:rPr>
          <w:rFonts w:ascii="Arial" w:eastAsia="Calibri" w:hAnsi="Arial" w:cs="Arial"/>
          <w:color w:val="000000" w:themeColor="text1"/>
        </w:rPr>
        <w:t xml:space="preserve">. </w:t>
      </w:r>
    </w:p>
    <w:p w14:paraId="09003CA7" w14:textId="77777777" w:rsidR="00376120" w:rsidRPr="002A17CA" w:rsidRDefault="00376120" w:rsidP="00376120">
      <w:pPr>
        <w:pStyle w:val="ListParagraph"/>
        <w:ind w:left="360"/>
        <w:rPr>
          <w:rFonts w:ascii="Arial" w:eastAsia="Calibri" w:hAnsi="Arial" w:cs="Arial"/>
          <w:b/>
          <w:bCs/>
          <w:color w:val="000000" w:themeColor="text1"/>
          <w:sz w:val="12"/>
          <w:szCs w:val="12"/>
        </w:rPr>
      </w:pPr>
    </w:p>
    <w:p w14:paraId="53EC3416" w14:textId="77777777" w:rsidR="00691386" w:rsidRPr="00691386" w:rsidRDefault="00691386" w:rsidP="00691386">
      <w:pPr>
        <w:pStyle w:val="ListParagraph"/>
        <w:ind w:left="1069"/>
        <w:rPr>
          <w:rFonts w:ascii="Arial" w:eastAsia="Calibri" w:hAnsi="Arial" w:cs="Arial"/>
          <w:b/>
          <w:bCs/>
          <w:color w:val="000000" w:themeColor="text1"/>
          <w:sz w:val="12"/>
          <w:szCs w:val="12"/>
        </w:rPr>
      </w:pPr>
    </w:p>
    <w:p w14:paraId="61FD4600" w14:textId="73140692" w:rsidR="00B31790" w:rsidRDefault="00B31790" w:rsidP="00B31790">
      <w:pPr>
        <w:pStyle w:val="ListParagraph"/>
        <w:numPr>
          <w:ilvl w:val="0"/>
          <w:numId w:val="12"/>
        </w:numPr>
        <w:rPr>
          <w:rFonts w:ascii="Arial" w:eastAsia="Calibri" w:hAnsi="Arial" w:cs="Arial"/>
          <w:b/>
          <w:bCs/>
        </w:rPr>
      </w:pPr>
      <w:r w:rsidRPr="00FC34CF">
        <w:rPr>
          <w:rFonts w:ascii="Arial" w:eastAsia="Calibri" w:hAnsi="Arial" w:cs="Arial"/>
          <w:b/>
          <w:bCs/>
        </w:rPr>
        <w:t>System-wide</w:t>
      </w:r>
      <w:r w:rsidR="0023425B">
        <w:rPr>
          <w:rFonts w:ascii="Arial" w:eastAsia="Calibri" w:hAnsi="Arial" w:cs="Arial"/>
          <w:b/>
          <w:bCs/>
        </w:rPr>
        <w:t xml:space="preserve"> Change to Support Greater Flexibilities, Efficiencies and Management of </w:t>
      </w:r>
      <w:r w:rsidR="00C00704">
        <w:rPr>
          <w:rFonts w:ascii="Arial" w:eastAsia="Calibri" w:hAnsi="Arial" w:cs="Arial"/>
          <w:b/>
          <w:bCs/>
        </w:rPr>
        <w:t>Safeguarding Measures to the Benefit of All Industry</w:t>
      </w:r>
      <w:r w:rsidR="002A17CA">
        <w:rPr>
          <w:rFonts w:ascii="Arial" w:eastAsia="Calibri" w:hAnsi="Arial" w:cs="Arial"/>
          <w:b/>
          <w:bCs/>
        </w:rPr>
        <w:t xml:space="preserve">: </w:t>
      </w:r>
      <w:r w:rsidR="002A17CA" w:rsidRPr="002A17CA">
        <w:rPr>
          <w:rFonts w:ascii="Arial" w:eastAsia="Calibri" w:hAnsi="Arial" w:cs="Arial"/>
          <w:b/>
          <w:bCs/>
          <w:color w:val="DA0000"/>
        </w:rPr>
        <w:t>IMPLEMENT CHANGE</w:t>
      </w:r>
    </w:p>
    <w:p w14:paraId="1A7CC847" w14:textId="62E81597" w:rsidR="00C82124" w:rsidRPr="00C82124" w:rsidRDefault="00C82124" w:rsidP="00C82124">
      <w:pPr>
        <w:pStyle w:val="ListParagraph"/>
        <w:numPr>
          <w:ilvl w:val="0"/>
          <w:numId w:val="16"/>
        </w:numPr>
        <w:rPr>
          <w:rFonts w:ascii="Arial" w:eastAsia="Calibri" w:hAnsi="Arial" w:cs="Arial"/>
        </w:rPr>
      </w:pPr>
      <w:r>
        <w:rPr>
          <w:rFonts w:ascii="Arial" w:eastAsia="Calibri" w:hAnsi="Arial" w:cs="Arial"/>
        </w:rPr>
        <w:t>We suggest the creation of a</w:t>
      </w:r>
      <w:r w:rsidRPr="00C82124">
        <w:rPr>
          <w:rFonts w:ascii="Arial" w:eastAsia="Calibri" w:hAnsi="Arial" w:cs="Arial"/>
        </w:rPr>
        <w:t xml:space="preserve"> more proactive dialogue between government and business on </w:t>
      </w:r>
      <w:r w:rsidR="003A0C97">
        <w:rPr>
          <w:rFonts w:ascii="Arial" w:eastAsia="Calibri" w:hAnsi="Arial" w:cs="Arial"/>
        </w:rPr>
        <w:t>steel safeguarding issues</w:t>
      </w:r>
      <w:r w:rsidRPr="00C82124">
        <w:rPr>
          <w:rFonts w:ascii="Arial" w:eastAsia="Calibri" w:hAnsi="Arial" w:cs="Arial"/>
        </w:rPr>
        <w:t xml:space="preserve"> and potential solutions, setting up </w:t>
      </w:r>
      <w:r w:rsidR="00322DAD">
        <w:rPr>
          <w:rFonts w:ascii="Arial" w:eastAsia="Calibri" w:hAnsi="Arial" w:cs="Arial"/>
        </w:rPr>
        <w:t>a</w:t>
      </w:r>
      <w:r w:rsidRPr="00C82124">
        <w:rPr>
          <w:rFonts w:ascii="Arial" w:eastAsia="Calibri" w:hAnsi="Arial" w:cs="Arial"/>
        </w:rPr>
        <w:t xml:space="preserve"> dedicated taskforce that acknowledges the urgency of the situation and </w:t>
      </w:r>
      <w:r w:rsidR="00322DAD">
        <w:rPr>
          <w:rFonts w:ascii="Arial" w:eastAsia="Calibri" w:hAnsi="Arial" w:cs="Arial"/>
        </w:rPr>
        <w:t>d</w:t>
      </w:r>
      <w:r w:rsidRPr="00C82124">
        <w:rPr>
          <w:rFonts w:ascii="Arial" w:eastAsia="Calibri" w:hAnsi="Arial" w:cs="Arial"/>
        </w:rPr>
        <w:t>evelops solutions for industry.</w:t>
      </w:r>
    </w:p>
    <w:p w14:paraId="1738AC77" w14:textId="3B2032FA" w:rsidR="00DD331E" w:rsidRPr="00DD331E" w:rsidRDefault="005E7728" w:rsidP="00DD331E">
      <w:pPr>
        <w:pStyle w:val="ListParagraph"/>
        <w:numPr>
          <w:ilvl w:val="0"/>
          <w:numId w:val="16"/>
        </w:numPr>
        <w:rPr>
          <w:rFonts w:ascii="Arial" w:eastAsia="Calibri" w:hAnsi="Arial" w:cs="Arial"/>
        </w:rPr>
      </w:pPr>
      <w:r>
        <w:rPr>
          <w:rFonts w:ascii="Arial" w:eastAsia="Calibri" w:hAnsi="Arial" w:cs="Arial"/>
        </w:rPr>
        <w:t>The d</w:t>
      </w:r>
      <w:r w:rsidR="00DD331E">
        <w:rPr>
          <w:rFonts w:ascii="Arial" w:eastAsia="Calibri" w:hAnsi="Arial" w:cs="Arial"/>
        </w:rPr>
        <w:t>evelopment of a</w:t>
      </w:r>
      <w:r w:rsidR="00DD331E"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274C1DCB" w14:textId="391AD56A" w:rsidR="00C82124" w:rsidRDefault="004B384D" w:rsidP="008815A3">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p w14:paraId="557A0452" w14:textId="3C32B6F4" w:rsidR="007E32E5" w:rsidRDefault="007E32E5" w:rsidP="007E32E5">
      <w:pPr>
        <w:rPr>
          <w:rFonts w:eastAsia="Calibri"/>
        </w:rPr>
      </w:pPr>
    </w:p>
    <w:p w14:paraId="00A16FE8" w14:textId="58CA052A" w:rsidR="00832AF4" w:rsidRPr="00B258DF" w:rsidRDefault="00832AF4" w:rsidP="007E32E5">
      <w:pPr>
        <w:rPr>
          <w:rFonts w:eastAsia="Calibri"/>
          <w:b/>
          <w:bCs/>
          <w:sz w:val="24"/>
          <w:szCs w:val="28"/>
        </w:rPr>
      </w:pPr>
      <w:r w:rsidRPr="00B258DF">
        <w:rPr>
          <w:rFonts w:eastAsia="Calibri"/>
          <w:b/>
          <w:bCs/>
          <w:sz w:val="24"/>
          <w:szCs w:val="28"/>
        </w:rPr>
        <w:t>Headline Progress and Recommendations</w:t>
      </w:r>
    </w:p>
    <w:p w14:paraId="409A91DD" w14:textId="04DAB204" w:rsidR="007E32E5" w:rsidRDefault="007E32E5" w:rsidP="007E32E5">
      <w:pPr>
        <w:rPr>
          <w:rFonts w:eastAsia="Calibri"/>
        </w:rPr>
      </w:pPr>
    </w:p>
    <w:tbl>
      <w:tblPr>
        <w:tblStyle w:val="TableGrid"/>
        <w:tblW w:w="9849" w:type="dxa"/>
        <w:tblLook w:val="04A0" w:firstRow="1" w:lastRow="0" w:firstColumn="1" w:lastColumn="0" w:noHBand="0" w:noVBand="1"/>
      </w:tblPr>
      <w:tblGrid>
        <w:gridCol w:w="2580"/>
        <w:gridCol w:w="2410"/>
        <w:gridCol w:w="4859"/>
      </w:tblGrid>
      <w:tr w:rsidR="007E32E5" w14:paraId="4199F17B" w14:textId="77777777" w:rsidTr="003C1D9A">
        <w:trPr>
          <w:trHeight w:val="161"/>
        </w:trPr>
        <w:tc>
          <w:tcPr>
            <w:tcW w:w="2580" w:type="dxa"/>
          </w:tcPr>
          <w:p w14:paraId="6E701923" w14:textId="6212ABFF" w:rsidR="007E32E5" w:rsidRPr="007E32E5" w:rsidRDefault="007E32E5" w:rsidP="007E32E5">
            <w:pPr>
              <w:rPr>
                <w:b/>
                <w:bCs/>
              </w:rPr>
            </w:pPr>
            <w:r w:rsidRPr="007E32E5">
              <w:rPr>
                <w:b/>
                <w:bCs/>
              </w:rPr>
              <w:t>Category / Area</w:t>
            </w:r>
          </w:p>
        </w:tc>
        <w:tc>
          <w:tcPr>
            <w:tcW w:w="2410" w:type="dxa"/>
          </w:tcPr>
          <w:p w14:paraId="5D814B73" w14:textId="2895AE82" w:rsidR="007E32E5" w:rsidRPr="007E32E5" w:rsidRDefault="007E32E5" w:rsidP="007E32E5">
            <w:pPr>
              <w:rPr>
                <w:b/>
                <w:bCs/>
              </w:rPr>
            </w:pPr>
            <w:r>
              <w:rPr>
                <w:b/>
                <w:bCs/>
              </w:rPr>
              <w:t>Progress</w:t>
            </w:r>
            <w:r w:rsidR="002A17CA">
              <w:rPr>
                <w:b/>
                <w:bCs/>
              </w:rPr>
              <w:t xml:space="preserve"> (RAG)</w:t>
            </w:r>
          </w:p>
        </w:tc>
        <w:tc>
          <w:tcPr>
            <w:tcW w:w="4859" w:type="dxa"/>
          </w:tcPr>
          <w:p w14:paraId="44385ECF" w14:textId="11547A49" w:rsidR="007E32E5" w:rsidRPr="007E32E5" w:rsidRDefault="007E32E5" w:rsidP="007E32E5">
            <w:pPr>
              <w:rPr>
                <w:b/>
                <w:bCs/>
              </w:rPr>
            </w:pPr>
            <w:r w:rsidRPr="007E32E5">
              <w:rPr>
                <w:b/>
                <w:bCs/>
              </w:rPr>
              <w:t>Recommendation</w:t>
            </w:r>
            <w:r w:rsidR="002A17CA">
              <w:rPr>
                <w:b/>
                <w:bCs/>
              </w:rPr>
              <w:t>s</w:t>
            </w:r>
          </w:p>
        </w:tc>
      </w:tr>
      <w:tr w:rsidR="007E32E5" w14:paraId="3232805F" w14:textId="77777777" w:rsidTr="003C1D9A">
        <w:trPr>
          <w:trHeight w:val="161"/>
        </w:trPr>
        <w:tc>
          <w:tcPr>
            <w:tcW w:w="2580" w:type="dxa"/>
            <w:vAlign w:val="center"/>
          </w:tcPr>
          <w:p w14:paraId="5B2FC0AE" w14:textId="71F42068" w:rsidR="007E32E5" w:rsidRPr="007E32E5" w:rsidRDefault="007E32E5" w:rsidP="00832AF4">
            <w:r w:rsidRPr="007E32E5">
              <w:t>Category 4</w:t>
            </w:r>
          </w:p>
        </w:tc>
        <w:tc>
          <w:tcPr>
            <w:tcW w:w="2410" w:type="dxa"/>
            <w:shd w:val="clear" w:color="auto" w:fill="FF0000"/>
            <w:vAlign w:val="center"/>
          </w:tcPr>
          <w:p w14:paraId="51FFBDFC" w14:textId="156C5581" w:rsidR="007E32E5" w:rsidRDefault="007E32E5" w:rsidP="00832AF4">
            <w:r>
              <w:t>N / A</w:t>
            </w:r>
          </w:p>
        </w:tc>
        <w:tc>
          <w:tcPr>
            <w:tcW w:w="4859" w:type="dxa"/>
          </w:tcPr>
          <w:p w14:paraId="5B28402A" w14:textId="285496FD" w:rsidR="007E32E5" w:rsidRPr="00832AF4" w:rsidRDefault="006759D1" w:rsidP="006759D1">
            <w:pPr>
              <w:pStyle w:val="ListParagraph"/>
              <w:numPr>
                <w:ilvl w:val="0"/>
                <w:numId w:val="21"/>
              </w:numPr>
              <w:rPr>
                <w:rFonts w:ascii="Arial" w:eastAsia="Calibri" w:hAnsi="Arial" w:cs="Arial"/>
              </w:rPr>
            </w:pPr>
            <w:r w:rsidRPr="00832AF4">
              <w:rPr>
                <w:rFonts w:ascii="Arial" w:eastAsia="Calibri" w:hAnsi="Arial" w:cs="Arial"/>
              </w:rPr>
              <w:t xml:space="preserve">Increase non-EU quota </w:t>
            </w:r>
            <w:r w:rsidR="00DE12C6" w:rsidRPr="00832AF4">
              <w:rPr>
                <w:rFonts w:ascii="Arial" w:eastAsia="Calibri" w:hAnsi="Arial" w:cs="Arial"/>
              </w:rPr>
              <w:t>levels, supporting greater flexibility of supply</w:t>
            </w:r>
          </w:p>
        </w:tc>
      </w:tr>
      <w:tr w:rsidR="007E32E5" w14:paraId="5678216C" w14:textId="77777777" w:rsidTr="003C1D9A">
        <w:trPr>
          <w:trHeight w:val="161"/>
        </w:trPr>
        <w:tc>
          <w:tcPr>
            <w:tcW w:w="2580" w:type="dxa"/>
            <w:vAlign w:val="center"/>
          </w:tcPr>
          <w:p w14:paraId="567392AE" w14:textId="54F21016" w:rsidR="007E32E5" w:rsidRPr="007E32E5" w:rsidRDefault="007E32E5" w:rsidP="00832AF4">
            <w:r w:rsidRPr="007E32E5">
              <w:t>System-Wide Changes</w:t>
            </w:r>
          </w:p>
        </w:tc>
        <w:tc>
          <w:tcPr>
            <w:tcW w:w="2410" w:type="dxa"/>
            <w:shd w:val="clear" w:color="auto" w:fill="FF0000"/>
            <w:vAlign w:val="center"/>
          </w:tcPr>
          <w:p w14:paraId="2ACEF2B5" w14:textId="7C59C00B" w:rsidR="007E32E5" w:rsidRDefault="007E32E5" w:rsidP="00832AF4">
            <w:r>
              <w:t>N / A</w:t>
            </w:r>
          </w:p>
        </w:tc>
        <w:tc>
          <w:tcPr>
            <w:tcW w:w="4859" w:type="dxa"/>
          </w:tcPr>
          <w:p w14:paraId="26824405" w14:textId="77777777" w:rsidR="007E32E5"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Proactive industry / government dialogue</w:t>
            </w:r>
          </w:p>
          <w:p w14:paraId="3FA7A00A" w14:textId="77777777" w:rsidR="00832AF4"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Holistic and organised approach</w:t>
            </w:r>
          </w:p>
          <w:p w14:paraId="6041C6E5" w14:textId="0609FAFB" w:rsidR="00832AF4"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Work collaboratively on a supply chain</w:t>
            </w:r>
          </w:p>
        </w:tc>
      </w:tr>
    </w:tbl>
    <w:p w14:paraId="54EBF80D" w14:textId="7B97F831" w:rsidR="007E32E5" w:rsidRDefault="007E32E5" w:rsidP="007E32E5">
      <w:pPr>
        <w:rPr>
          <w:rFonts w:eastAsia="Calibri"/>
        </w:rPr>
      </w:pPr>
    </w:p>
    <w:p w14:paraId="1A4A03B8" w14:textId="2608969B" w:rsidR="00E275C9" w:rsidRDefault="00B31790" w:rsidP="00B31790">
      <w:pPr>
        <w:rPr>
          <w:rFonts w:eastAsia="Calibri"/>
          <w:szCs w:val="22"/>
        </w:rPr>
      </w:pPr>
      <w:r w:rsidRPr="004B5D58">
        <w:rPr>
          <w:rFonts w:eastAsia="Calibri"/>
          <w:szCs w:val="22"/>
        </w:rPr>
        <w:t>The above recommendations are based on evidence</w:t>
      </w:r>
      <w:r w:rsidR="00322DAD">
        <w:rPr>
          <w:rFonts w:eastAsia="Calibri"/>
          <w:szCs w:val="22"/>
        </w:rPr>
        <w:t xml:space="preserve"> and experience</w:t>
      </w:r>
      <w:r w:rsidRPr="004B5D58">
        <w:rPr>
          <w:rFonts w:eastAsia="Calibri"/>
          <w:szCs w:val="22"/>
        </w:rPr>
        <w:t xml:space="preserve"> from local industry, namely that quotas are providing </w:t>
      </w:r>
      <w:r w:rsidRPr="004B5D58">
        <w:rPr>
          <w:rFonts w:eastAsia="Calibri"/>
          <w:b/>
          <w:bCs/>
          <w:szCs w:val="22"/>
        </w:rPr>
        <w:t xml:space="preserve">uncertainty and cost increases for many businesses. </w:t>
      </w:r>
      <w:r w:rsidRPr="004B5D58">
        <w:rPr>
          <w:rFonts w:eastAsia="Calibri"/>
          <w:szCs w:val="22"/>
        </w:rPr>
        <w:t>This has been exacerbated by the Liberty Steel crisis, with a lack of UK-produced steel meaning that companies have no choice but to import from abroad. When import quotas exhaust, as per the recent case of Category 12</w:t>
      </w:r>
      <w:r w:rsidR="005F7AFB">
        <w:rPr>
          <w:rFonts w:eastAsia="Calibri"/>
          <w:szCs w:val="22"/>
        </w:rPr>
        <w:t xml:space="preserve"> and </w:t>
      </w:r>
      <w:r w:rsidR="007C3F01">
        <w:rPr>
          <w:rFonts w:eastAsia="Calibri"/>
          <w:szCs w:val="22"/>
        </w:rPr>
        <w:t xml:space="preserve">ongoing </w:t>
      </w:r>
      <w:r w:rsidR="005F7AFB">
        <w:rPr>
          <w:rFonts w:eastAsia="Calibri"/>
          <w:szCs w:val="22"/>
        </w:rPr>
        <w:t xml:space="preserve">case of </w:t>
      </w:r>
      <w:r w:rsidR="00472496">
        <w:rPr>
          <w:rFonts w:eastAsia="Calibri"/>
          <w:szCs w:val="22"/>
        </w:rPr>
        <w:t>Category 4</w:t>
      </w:r>
      <w:r w:rsidRPr="004B5D58">
        <w:rPr>
          <w:rFonts w:eastAsia="Calibri"/>
          <w:szCs w:val="22"/>
        </w:rPr>
        <w:t xml:space="preserve">, importers </w:t>
      </w:r>
      <w:r w:rsidR="00376886">
        <w:rPr>
          <w:rFonts w:eastAsia="Calibri"/>
          <w:szCs w:val="22"/>
        </w:rPr>
        <w:t>face</w:t>
      </w:r>
      <w:r w:rsidRPr="004B5D58">
        <w:rPr>
          <w:rFonts w:eastAsia="Calibri"/>
          <w:szCs w:val="22"/>
        </w:rPr>
        <w:t xml:space="preserve"> 25% tariffs - and the result is </w:t>
      </w:r>
      <w:r w:rsidR="00376886" w:rsidRPr="00376886">
        <w:rPr>
          <w:rFonts w:eastAsia="Calibri"/>
          <w:b/>
          <w:bCs/>
          <w:color w:val="000000" w:themeColor="text1"/>
          <w:szCs w:val="22"/>
        </w:rPr>
        <w:t>an impingement on</w:t>
      </w:r>
      <w:r w:rsidRPr="00376886">
        <w:rPr>
          <w:rFonts w:eastAsia="Calibri"/>
          <w:b/>
          <w:bCs/>
          <w:color w:val="000000" w:themeColor="text1"/>
          <w:szCs w:val="22"/>
        </w:rPr>
        <w:t xml:space="preserve"> competitiveness </w:t>
      </w:r>
      <w:r w:rsidRPr="004B5D58">
        <w:rPr>
          <w:rFonts w:eastAsia="Calibri"/>
          <w:b/>
          <w:bCs/>
          <w:szCs w:val="22"/>
        </w:rPr>
        <w:t>and business viability.</w:t>
      </w:r>
      <w:r w:rsidRPr="004B5D58">
        <w:rPr>
          <w:rFonts w:eastAsia="Calibri"/>
          <w:szCs w:val="22"/>
        </w:rPr>
        <w:t xml:space="preserve"> </w:t>
      </w:r>
      <w:r w:rsidR="00E275C9">
        <w:rPr>
          <w:rFonts w:eastAsia="Calibri"/>
          <w:szCs w:val="22"/>
        </w:rPr>
        <w:t xml:space="preserve">Furthermore, </w:t>
      </w:r>
      <w:r w:rsidR="002A6E3C">
        <w:rPr>
          <w:rFonts w:eastAsia="Calibri"/>
          <w:szCs w:val="22"/>
        </w:rPr>
        <w:t>t</w:t>
      </w:r>
      <w:r w:rsidR="00E5712C">
        <w:rPr>
          <w:rFonts w:eastAsia="Calibri"/>
          <w:szCs w:val="22"/>
        </w:rPr>
        <w:t>he</w:t>
      </w:r>
      <w:r w:rsidR="00C0045F">
        <w:rPr>
          <w:rFonts w:eastAsia="Calibri"/>
          <w:szCs w:val="22"/>
        </w:rPr>
        <w:t xml:space="preserve"> lack of </w:t>
      </w:r>
      <w:r w:rsidR="00490EDE">
        <w:rPr>
          <w:rFonts w:eastAsia="Calibri"/>
          <w:szCs w:val="22"/>
        </w:rPr>
        <w:t xml:space="preserve">flexibility </w:t>
      </w:r>
      <w:r w:rsidR="00E5712C">
        <w:rPr>
          <w:rFonts w:eastAsia="Calibri"/>
          <w:szCs w:val="22"/>
        </w:rPr>
        <w:t>in quota</w:t>
      </w:r>
      <w:r w:rsidR="00105B34">
        <w:rPr>
          <w:rFonts w:eastAsia="Calibri"/>
          <w:szCs w:val="22"/>
        </w:rPr>
        <w:t xml:space="preserve"> allocation</w:t>
      </w:r>
      <w:r w:rsidR="00E5712C">
        <w:rPr>
          <w:rFonts w:eastAsia="Calibri"/>
          <w:szCs w:val="22"/>
        </w:rPr>
        <w:t xml:space="preserve"> across countr</w:t>
      </w:r>
      <w:r w:rsidR="00105B34">
        <w:rPr>
          <w:rFonts w:eastAsia="Calibri"/>
          <w:szCs w:val="22"/>
        </w:rPr>
        <w:t>ies / country groups is not fit for purpose in a highly volatile and ever-changing market. This adds a</w:t>
      </w:r>
      <w:r w:rsidR="00D95449">
        <w:rPr>
          <w:rFonts w:eastAsia="Calibri"/>
          <w:szCs w:val="22"/>
        </w:rPr>
        <w:t xml:space="preserve">n </w:t>
      </w:r>
      <w:proofErr w:type="spellStart"/>
      <w:r w:rsidR="00D95449">
        <w:rPr>
          <w:rFonts w:eastAsia="Calibri"/>
          <w:szCs w:val="22"/>
        </w:rPr>
        <w:t>uncecessary</w:t>
      </w:r>
      <w:proofErr w:type="spellEnd"/>
      <w:r w:rsidR="00D95449">
        <w:rPr>
          <w:rFonts w:eastAsia="Calibri"/>
          <w:szCs w:val="22"/>
        </w:rPr>
        <w:t xml:space="preserve"> layer of uncertainty and cost which has a knock-on effect across supply chains.</w:t>
      </w:r>
    </w:p>
    <w:p w14:paraId="79B0F61A" w14:textId="77777777" w:rsidR="00E275C9" w:rsidRDefault="00E275C9" w:rsidP="00B31790">
      <w:pPr>
        <w:rPr>
          <w:rFonts w:eastAsia="Calibri"/>
          <w:szCs w:val="22"/>
        </w:rPr>
      </w:pPr>
    </w:p>
    <w:p w14:paraId="5DC63A5A" w14:textId="5F505A1A" w:rsidR="00C0045F" w:rsidRDefault="006F2940" w:rsidP="00B31790">
      <w:pPr>
        <w:rPr>
          <w:rFonts w:eastAsia="Calibri"/>
          <w:szCs w:val="22"/>
        </w:rPr>
      </w:pPr>
      <w:r>
        <w:rPr>
          <w:rFonts w:eastAsia="Calibri"/>
          <w:szCs w:val="22"/>
        </w:rPr>
        <w:t xml:space="preserve">Ideally, </w:t>
      </w:r>
      <w:r w:rsidR="00E264E0">
        <w:rPr>
          <w:rFonts w:eastAsia="Calibri"/>
          <w:szCs w:val="22"/>
        </w:rPr>
        <w:t xml:space="preserve">access to UK produced steel </w:t>
      </w:r>
      <w:r w:rsidR="005B1BDF">
        <w:rPr>
          <w:rFonts w:eastAsia="Calibri"/>
          <w:szCs w:val="22"/>
        </w:rPr>
        <w:t xml:space="preserve">in a well-supported and </w:t>
      </w:r>
      <w:r w:rsidR="00321538">
        <w:rPr>
          <w:rFonts w:eastAsia="Calibri"/>
          <w:szCs w:val="22"/>
        </w:rPr>
        <w:t xml:space="preserve">sustainable steel industry would solve issues related to steel trade. </w:t>
      </w:r>
      <w:r w:rsidR="00321538" w:rsidRPr="00277FA7">
        <w:rPr>
          <w:rFonts w:eastAsia="Calibri"/>
          <w:b/>
          <w:bCs/>
          <w:szCs w:val="22"/>
        </w:rPr>
        <w:t>The LEP and its partners fully support this UK steel self-sufficiency as the ultimate aim</w:t>
      </w:r>
      <w:r w:rsidR="00321538">
        <w:rPr>
          <w:rFonts w:eastAsia="Calibri"/>
          <w:szCs w:val="22"/>
        </w:rPr>
        <w:t xml:space="preserve">, a partnership between production and downstream users rather than opposition. </w:t>
      </w:r>
      <w:r w:rsidR="00E43D77">
        <w:rPr>
          <w:rFonts w:eastAsia="Calibri"/>
          <w:szCs w:val="22"/>
        </w:rPr>
        <w:t>The evidence, however,</w:t>
      </w:r>
      <w:r w:rsidR="00E275C9">
        <w:rPr>
          <w:rFonts w:eastAsia="Calibri"/>
          <w:szCs w:val="22"/>
        </w:rPr>
        <w:t xml:space="preserve"> suggests UK steel production</w:t>
      </w:r>
      <w:r w:rsidR="003C12D0">
        <w:rPr>
          <w:rFonts w:eastAsia="Calibri"/>
          <w:szCs w:val="22"/>
        </w:rPr>
        <w:t xml:space="preserve"> (in this case</w:t>
      </w:r>
      <w:r w:rsidR="00E275C9">
        <w:rPr>
          <w:rFonts w:eastAsia="Calibri"/>
          <w:szCs w:val="22"/>
        </w:rPr>
        <w:t xml:space="preserve"> for Category 4</w:t>
      </w:r>
      <w:r w:rsidR="0051501B">
        <w:rPr>
          <w:rFonts w:eastAsia="Calibri"/>
          <w:szCs w:val="22"/>
        </w:rPr>
        <w:t xml:space="preserve"> </w:t>
      </w:r>
      <w:r w:rsidR="006D5E6C">
        <w:rPr>
          <w:rFonts w:eastAsia="Calibri"/>
          <w:szCs w:val="22"/>
        </w:rPr>
        <w:t>steel</w:t>
      </w:r>
      <w:r w:rsidR="003C12D0">
        <w:rPr>
          <w:rFonts w:eastAsia="Calibri"/>
          <w:szCs w:val="22"/>
        </w:rPr>
        <w:t xml:space="preserve">) </w:t>
      </w:r>
      <w:r w:rsidR="000127C3">
        <w:rPr>
          <w:rFonts w:eastAsia="Calibri"/>
          <w:szCs w:val="22"/>
        </w:rPr>
        <w:t>is not currently sufficient enough to meet market demand</w:t>
      </w:r>
      <w:r w:rsidR="00277FA7">
        <w:rPr>
          <w:rFonts w:eastAsia="Calibri"/>
          <w:szCs w:val="22"/>
        </w:rPr>
        <w:t>, requiring downstream users to import</w:t>
      </w:r>
      <w:r w:rsidR="00A15D22">
        <w:rPr>
          <w:rFonts w:eastAsia="Calibri"/>
          <w:szCs w:val="22"/>
        </w:rPr>
        <w:t xml:space="preserve"> from abroad</w:t>
      </w:r>
      <w:r w:rsidR="00277FA7">
        <w:rPr>
          <w:rFonts w:eastAsia="Calibri"/>
          <w:szCs w:val="22"/>
        </w:rPr>
        <w:t xml:space="preserve">. We </w:t>
      </w:r>
      <w:r w:rsidR="00277FA7" w:rsidRPr="00277FA7">
        <w:rPr>
          <w:rFonts w:eastAsia="Calibri"/>
          <w:b/>
          <w:bCs/>
          <w:szCs w:val="22"/>
        </w:rPr>
        <w:t xml:space="preserve">agree that </w:t>
      </w:r>
      <w:r w:rsidR="00A15D22">
        <w:rPr>
          <w:rFonts w:eastAsia="Calibri"/>
          <w:b/>
          <w:bCs/>
          <w:szCs w:val="22"/>
        </w:rPr>
        <w:t xml:space="preserve">steel </w:t>
      </w:r>
      <w:r w:rsidR="00A15D22">
        <w:rPr>
          <w:rFonts w:eastAsia="Calibri"/>
          <w:b/>
          <w:bCs/>
          <w:szCs w:val="22"/>
        </w:rPr>
        <w:lastRenderedPageBreak/>
        <w:t>safeguarding measures</w:t>
      </w:r>
      <w:r w:rsidR="00277FA7" w:rsidRPr="00277FA7">
        <w:rPr>
          <w:rFonts w:eastAsia="Calibri"/>
          <w:b/>
          <w:bCs/>
          <w:szCs w:val="22"/>
        </w:rPr>
        <w:t xml:space="preserve"> of some kind are </w:t>
      </w:r>
      <w:r w:rsidR="00277FA7">
        <w:rPr>
          <w:rFonts w:eastAsia="Calibri"/>
          <w:b/>
          <w:bCs/>
          <w:szCs w:val="22"/>
        </w:rPr>
        <w:t>necessary instruments</w:t>
      </w:r>
      <w:r w:rsidR="00277FA7" w:rsidRPr="00277FA7">
        <w:rPr>
          <w:rFonts w:eastAsia="Calibri"/>
          <w:b/>
          <w:bCs/>
          <w:szCs w:val="22"/>
        </w:rPr>
        <w:t xml:space="preserve"> to protect British industry</w:t>
      </w:r>
      <w:r w:rsidR="00277FA7">
        <w:rPr>
          <w:rFonts w:eastAsia="Calibri"/>
          <w:szCs w:val="22"/>
        </w:rPr>
        <w:t>, but that nuanced changes in the</w:t>
      </w:r>
      <w:r w:rsidR="00A15D22">
        <w:rPr>
          <w:rFonts w:eastAsia="Calibri"/>
          <w:szCs w:val="22"/>
        </w:rPr>
        <w:t xml:space="preserve"> quotas</w:t>
      </w:r>
      <w:r w:rsidR="00277FA7">
        <w:rPr>
          <w:rFonts w:eastAsia="Calibri"/>
          <w:szCs w:val="22"/>
        </w:rPr>
        <w:t xml:space="preserve"> system are required</w:t>
      </w:r>
      <w:r w:rsidR="00A15D22">
        <w:rPr>
          <w:rFonts w:eastAsia="Calibri"/>
          <w:szCs w:val="22"/>
        </w:rPr>
        <w:t xml:space="preserve"> to reach an equitable position</w:t>
      </w:r>
      <w:r w:rsidR="00277FA7">
        <w:rPr>
          <w:rFonts w:eastAsia="Calibri"/>
          <w:szCs w:val="22"/>
        </w:rPr>
        <w:t xml:space="preserve"> – hence the findings</w:t>
      </w:r>
      <w:r w:rsidR="00A15D22">
        <w:rPr>
          <w:rFonts w:eastAsia="Calibri"/>
          <w:szCs w:val="22"/>
        </w:rPr>
        <w:t xml:space="preserve"> and recommendations</w:t>
      </w:r>
      <w:r w:rsidR="00277FA7">
        <w:rPr>
          <w:rFonts w:eastAsia="Calibri"/>
          <w:szCs w:val="22"/>
        </w:rPr>
        <w:t xml:space="preserve"> of this submission.</w:t>
      </w:r>
    </w:p>
    <w:p w14:paraId="64CBA19E" w14:textId="5097F698" w:rsidR="00A8427C" w:rsidRPr="0051501B" w:rsidRDefault="00A8427C" w:rsidP="00B31790">
      <w:pPr>
        <w:rPr>
          <w:rFonts w:eastAsia="Calibri"/>
          <w:b/>
          <w:bCs/>
          <w:sz w:val="2"/>
          <w:szCs w:val="2"/>
        </w:rPr>
      </w:pPr>
    </w:p>
    <w:p w14:paraId="793B9748" w14:textId="77777777" w:rsidR="000F092A" w:rsidRDefault="000F092A" w:rsidP="00BF55DF">
      <w:pPr>
        <w:spacing w:line="276" w:lineRule="auto"/>
        <w:ind w:right="-489"/>
        <w:jc w:val="both"/>
        <w:rPr>
          <w:b/>
          <w:bCs/>
        </w:rPr>
      </w:pPr>
    </w:p>
    <w:p w14:paraId="057FBED3" w14:textId="49008F64" w:rsidR="00690201" w:rsidRPr="007676B0" w:rsidRDefault="008A6C0F" w:rsidP="00BF55DF">
      <w:pPr>
        <w:spacing w:line="276" w:lineRule="auto"/>
        <w:ind w:right="-489"/>
        <w:jc w:val="both"/>
        <w:rPr>
          <w:b/>
          <w:bCs/>
          <w:sz w:val="24"/>
          <w:szCs w:val="28"/>
        </w:rPr>
      </w:pPr>
      <w:r w:rsidRPr="007676B0">
        <w:rPr>
          <w:b/>
          <w:bCs/>
          <w:sz w:val="24"/>
          <w:szCs w:val="28"/>
        </w:rPr>
        <w:t>Introduction and Background</w:t>
      </w:r>
    </w:p>
    <w:p w14:paraId="28E6446C" w14:textId="2DA4D801" w:rsidR="00856E4C" w:rsidRPr="004B5D58" w:rsidRDefault="00856E4C" w:rsidP="00BF55DF">
      <w:pPr>
        <w:spacing w:line="276" w:lineRule="auto"/>
        <w:ind w:right="-489"/>
        <w:jc w:val="both"/>
        <w:rPr>
          <w:b/>
          <w:bCs/>
        </w:rPr>
      </w:pPr>
    </w:p>
    <w:p w14:paraId="112B18B4" w14:textId="53977AA2" w:rsidR="00856E4C" w:rsidRPr="004B5D58" w:rsidRDefault="0061689A" w:rsidP="00BF55DF">
      <w:pPr>
        <w:spacing w:line="276" w:lineRule="auto"/>
        <w:ind w:right="-489"/>
        <w:jc w:val="both"/>
      </w:pPr>
      <w:r w:rsidRPr="004B5D58">
        <w:t>T</w:t>
      </w:r>
      <w:r w:rsidR="00856E4C" w:rsidRPr="004B5D58">
        <w:t>he Black Country</w:t>
      </w:r>
      <w:r w:rsidRPr="004B5D58">
        <w:t xml:space="preserve"> LEP</w:t>
      </w:r>
      <w:r w:rsidR="00856E4C" w:rsidRPr="004B5D58">
        <w:t xml:space="preserve"> has taken the lead</w:t>
      </w:r>
      <w:r w:rsidR="00485021" w:rsidRPr="004B5D58">
        <w:t xml:space="preserve"> on</w:t>
      </w:r>
      <w:r w:rsidR="00856E4C" w:rsidRPr="004B5D58">
        <w:t xml:space="preserve"> the </w:t>
      </w:r>
      <w:r w:rsidRPr="004B5D58">
        <w:t xml:space="preserve">West Midlands’ </w:t>
      </w:r>
      <w:r w:rsidR="00856E4C" w:rsidRPr="004B5D58">
        <w:t xml:space="preserve">Metals and Materials Sector Recovery </w:t>
      </w:r>
      <w:r w:rsidR="00FE6CE2" w:rsidRPr="004B5D58">
        <w:t>Plan</w:t>
      </w:r>
      <w:r w:rsidR="00856E4C" w:rsidRPr="004B5D58">
        <w:t xml:space="preserve"> and to this regard has established a Metals and Materials </w:t>
      </w:r>
      <w:r w:rsidR="00FE6CE2" w:rsidRPr="004B5D58">
        <w:t>Sector</w:t>
      </w:r>
      <w:r w:rsidR="00856E4C" w:rsidRPr="004B5D58">
        <w:t xml:space="preserve"> Forum comprising of relevant trade </w:t>
      </w:r>
      <w:r w:rsidR="00FE6CE2" w:rsidRPr="004B5D58">
        <w:t>organisations</w:t>
      </w:r>
      <w:r w:rsidR="00856E4C" w:rsidRPr="004B5D58">
        <w:t xml:space="preserve">, businesses and academia </w:t>
      </w:r>
      <w:r w:rsidR="00485021" w:rsidRPr="004B5D58">
        <w:t xml:space="preserve">from </w:t>
      </w:r>
      <w:r w:rsidR="00856E4C" w:rsidRPr="004B5D58">
        <w:t>across the West Midlands.</w:t>
      </w:r>
    </w:p>
    <w:p w14:paraId="14976982" w14:textId="352A3972" w:rsidR="00856E4C" w:rsidRPr="004B5D58" w:rsidRDefault="00856E4C" w:rsidP="00BF55DF">
      <w:pPr>
        <w:spacing w:line="276" w:lineRule="auto"/>
        <w:ind w:right="-489"/>
        <w:jc w:val="both"/>
      </w:pPr>
    </w:p>
    <w:p w14:paraId="2DA8DAAA" w14:textId="20938D98" w:rsidR="00CF61D8" w:rsidRPr="00472496" w:rsidRDefault="00856E4C" w:rsidP="00B91B4F">
      <w:pPr>
        <w:spacing w:line="276" w:lineRule="auto"/>
        <w:ind w:right="-489"/>
        <w:jc w:val="both"/>
        <w:rPr>
          <w:b/>
          <w:bCs/>
        </w:rPr>
      </w:pPr>
      <w:r w:rsidRPr="004B5D58">
        <w:t xml:space="preserve">The Forum first met on </w:t>
      </w:r>
      <w:r w:rsidR="00E95DAF" w:rsidRPr="004B5D58">
        <w:t>30</w:t>
      </w:r>
      <w:r w:rsidR="00E95DAF" w:rsidRPr="004B5D58">
        <w:rPr>
          <w:vertAlign w:val="superscript"/>
        </w:rPr>
        <w:t>th</w:t>
      </w:r>
      <w:r w:rsidR="00E95DAF" w:rsidRPr="004B5D58">
        <w:t xml:space="preserve"> June 2021</w:t>
      </w:r>
      <w:r w:rsidRPr="004B5D58">
        <w:t xml:space="preserve"> </w:t>
      </w:r>
      <w:r w:rsidR="00B91B4F" w:rsidRPr="004B5D58">
        <w:t>a</w:t>
      </w:r>
      <w:r w:rsidRPr="004B5D58">
        <w:t>nd identified a number of issues</w:t>
      </w:r>
      <w:r w:rsidR="00B91B4F" w:rsidRPr="004B5D58">
        <w:t xml:space="preserve"> the</w:t>
      </w:r>
      <w:r w:rsidR="00303474" w:rsidRPr="004B5D58">
        <w:t xml:space="preserve"> sector</w:t>
      </w:r>
      <w:r w:rsidR="00B91B4F" w:rsidRPr="004B5D58">
        <w:t xml:space="preserve"> need</w:t>
      </w:r>
      <w:r w:rsidR="004B22D6" w:rsidRPr="004B5D58">
        <w:t xml:space="preserve">s </w:t>
      </w:r>
      <w:r w:rsidR="001E0FE4" w:rsidRPr="004B5D58">
        <w:t>support,</w:t>
      </w:r>
      <w:r w:rsidR="00B91B4F" w:rsidRPr="004B5D58">
        <w:t xml:space="preserve"> </w:t>
      </w:r>
      <w:r w:rsidR="00303474" w:rsidRPr="004B5D58">
        <w:t>f</w:t>
      </w:r>
      <w:r w:rsidR="00043A82" w:rsidRPr="004B5D58">
        <w:t xml:space="preserve">or </w:t>
      </w:r>
      <w:r w:rsidR="00B91B4F" w:rsidRPr="004B5D58">
        <w:t>the</w:t>
      </w:r>
      <w:r w:rsidR="00043A82" w:rsidRPr="004B5D58">
        <w:t xml:space="preserve"> benefit of the</w:t>
      </w:r>
      <w:r w:rsidR="00B91B4F" w:rsidRPr="004B5D58">
        <w:t xml:space="preserve"> region</w:t>
      </w:r>
      <w:r w:rsidR="00485021" w:rsidRPr="004B5D58">
        <w:t xml:space="preserve">. This </w:t>
      </w:r>
      <w:r w:rsidR="00B91B4F" w:rsidRPr="004B5D58">
        <w:t>include</w:t>
      </w:r>
      <w:r w:rsidR="00485021" w:rsidRPr="004B5D58">
        <w:t>d</w:t>
      </w:r>
      <w:r w:rsidR="00B91B4F" w:rsidRPr="004B5D58">
        <w:t xml:space="preserve"> the impact </w:t>
      </w:r>
      <w:r w:rsidR="00485021" w:rsidRPr="004B5D58">
        <w:t xml:space="preserve">of steel </w:t>
      </w:r>
      <w:r w:rsidR="00CF61D8" w:rsidRPr="004B5D58">
        <w:t>safeguarding measure</w:t>
      </w:r>
      <w:r w:rsidR="009F1238">
        <w:t xml:space="preserve">s, </w:t>
      </w:r>
      <w:r w:rsidR="00B91B4F" w:rsidRPr="004B5D58">
        <w:t xml:space="preserve">which </w:t>
      </w:r>
      <w:r w:rsidR="00485021" w:rsidRPr="004B5D58">
        <w:t xml:space="preserve">are </w:t>
      </w:r>
      <w:r w:rsidR="00B91B4F" w:rsidRPr="004B5D58">
        <w:t>having a</w:t>
      </w:r>
      <w:r w:rsidR="00485021" w:rsidRPr="004B5D58">
        <w:t xml:space="preserve"> </w:t>
      </w:r>
      <w:r w:rsidR="009F1238">
        <w:t>n</w:t>
      </w:r>
      <w:r w:rsidR="00B91B4F" w:rsidRPr="004B5D58">
        <w:t xml:space="preserve">egative effect on </w:t>
      </w:r>
      <w:r w:rsidR="001E0FE4" w:rsidRPr="004B5D58">
        <w:t>the</w:t>
      </w:r>
      <w:r w:rsidR="00485021" w:rsidRPr="004B5D58">
        <w:t xml:space="preserve"> ability </w:t>
      </w:r>
      <w:r w:rsidR="001E0FE4" w:rsidRPr="004B5D58">
        <w:t xml:space="preserve">for firms </w:t>
      </w:r>
      <w:r w:rsidR="00485021" w:rsidRPr="004B5D58">
        <w:t>to</w:t>
      </w:r>
      <w:r w:rsidR="00B91B4F" w:rsidRPr="004B5D58">
        <w:t xml:space="preserve"> access globally competitive steel sources and supply chains.</w:t>
      </w:r>
      <w:r w:rsidR="001E0FE4" w:rsidRPr="004B5D58">
        <w:t xml:space="preserve"> </w:t>
      </w:r>
      <w:r w:rsidR="001E0FE4" w:rsidRPr="00472496">
        <w:rPr>
          <w:b/>
          <w:bCs/>
        </w:rPr>
        <w:t xml:space="preserve">This is proving to be a major </w:t>
      </w:r>
      <w:r w:rsidR="00FB778D" w:rsidRPr="00472496">
        <w:rPr>
          <w:b/>
          <w:bCs/>
        </w:rPr>
        <w:t>challenge for West Midlands manufactur</w:t>
      </w:r>
      <w:r w:rsidR="00F55446" w:rsidRPr="00472496">
        <w:rPr>
          <w:b/>
          <w:bCs/>
        </w:rPr>
        <w:t>ers</w:t>
      </w:r>
      <w:r w:rsidR="00DC6D7D" w:rsidRPr="00472496">
        <w:rPr>
          <w:b/>
          <w:bCs/>
        </w:rPr>
        <w:t>, hence our submission on their behalf to</w:t>
      </w:r>
      <w:r w:rsidR="0051501B">
        <w:rPr>
          <w:b/>
          <w:bCs/>
        </w:rPr>
        <w:t xml:space="preserve"> the</w:t>
      </w:r>
      <w:r w:rsidR="00DC6D7D" w:rsidRPr="00472496">
        <w:rPr>
          <w:b/>
          <w:bCs/>
        </w:rPr>
        <w:t xml:space="preserve"> TRA case</w:t>
      </w:r>
      <w:r w:rsidR="00DC6D7D" w:rsidRPr="006D5E6C">
        <w:rPr>
          <w:b/>
          <w:bCs/>
          <w:color w:val="FF0000"/>
        </w:rPr>
        <w:t xml:space="preserve"> </w:t>
      </w:r>
      <w:r w:rsidR="00521057" w:rsidRPr="00521057">
        <w:rPr>
          <w:b/>
          <w:bCs/>
          <w:color w:val="000000" w:themeColor="text1"/>
        </w:rPr>
        <w:t>SM0015</w:t>
      </w:r>
      <w:r w:rsidR="00EA1670" w:rsidRPr="00472496">
        <w:rPr>
          <w:b/>
          <w:bCs/>
        </w:rPr>
        <w:t>.</w:t>
      </w:r>
    </w:p>
    <w:p w14:paraId="282677D3" w14:textId="77777777" w:rsidR="008A6C0F" w:rsidRPr="004B5D58" w:rsidRDefault="008A6C0F" w:rsidP="00B91B4F">
      <w:pPr>
        <w:spacing w:line="276" w:lineRule="auto"/>
        <w:ind w:right="-489"/>
        <w:jc w:val="both"/>
      </w:pPr>
    </w:p>
    <w:p w14:paraId="4AD3CD6F" w14:textId="22615FB7" w:rsidR="00CF61D8" w:rsidRPr="004B5D58" w:rsidRDefault="00485021" w:rsidP="00CF61D8">
      <w:pPr>
        <w:spacing w:line="276" w:lineRule="auto"/>
        <w:ind w:right="-489"/>
        <w:jc w:val="both"/>
      </w:pPr>
      <w:r w:rsidRPr="004B5D58">
        <w:t xml:space="preserve">When import quotas exhaust, importers </w:t>
      </w:r>
      <w:r w:rsidR="00C900A4">
        <w:t>face</w:t>
      </w:r>
      <w:r w:rsidRPr="004B5D58">
        <w:t xml:space="preserve"> 25% tariffs - and the result is </w:t>
      </w:r>
      <w:r w:rsidR="00C900A4">
        <w:t xml:space="preserve">reduced </w:t>
      </w:r>
      <w:r w:rsidRPr="004B5D58">
        <w:t>competitiveness and business viability.</w:t>
      </w:r>
      <w:r w:rsidR="00CF61D8" w:rsidRPr="004B5D58">
        <w:t xml:space="preserve"> At</w:t>
      </w:r>
      <w:r w:rsidR="00CF61D8" w:rsidRPr="004B5D58">
        <w:rPr>
          <w:rFonts w:eastAsiaTheme="minorHAnsi"/>
          <w:szCs w:val="22"/>
        </w:rPr>
        <w:t xml:space="preserve"> </w:t>
      </w:r>
      <w:r w:rsidR="00CF61D8" w:rsidRPr="004B5D58">
        <w:t>the very best, these quota-induced tariffs will deeply impact companies that are already vulnerable as a result of the pandemic. At worst, they could result in the company having to close, or make downscaling decisions to survive</w:t>
      </w:r>
      <w:r w:rsidR="00BA1508" w:rsidRPr="004B5D58">
        <w:t xml:space="preserve">, taking funding away from </w:t>
      </w:r>
      <w:r w:rsidR="00F03A85" w:rsidRPr="004B5D58">
        <w:t>investment in growth.</w:t>
      </w:r>
    </w:p>
    <w:p w14:paraId="489BC0A7" w14:textId="77777777" w:rsidR="008A6C0F" w:rsidRPr="004B5D58" w:rsidRDefault="008A6C0F" w:rsidP="00CF61D8">
      <w:pPr>
        <w:spacing w:line="276" w:lineRule="auto"/>
        <w:ind w:right="-489"/>
        <w:jc w:val="both"/>
      </w:pPr>
    </w:p>
    <w:p w14:paraId="20DDD54E" w14:textId="0434F6D2" w:rsidR="008A6C0F" w:rsidRPr="004B5D58" w:rsidRDefault="00CF61D8" w:rsidP="00EB7A27">
      <w:pPr>
        <w:spacing w:line="276" w:lineRule="auto"/>
        <w:ind w:right="-489"/>
        <w:jc w:val="both"/>
      </w:pPr>
      <w:r w:rsidRPr="004B5D58">
        <w:t xml:space="preserve">Quotas on steel and other </w:t>
      </w:r>
      <w:r w:rsidR="00C4639B" w:rsidRPr="004B5D58">
        <w:t>raw materials</w:t>
      </w:r>
      <w:r w:rsidRPr="004B5D58">
        <w:t xml:space="preserve"> </w:t>
      </w:r>
      <w:r w:rsidR="00D3689A">
        <w:t xml:space="preserve">have </w:t>
      </w:r>
      <w:proofErr w:type="spellStart"/>
      <w:r w:rsidRPr="004B5D58">
        <w:t>have</w:t>
      </w:r>
      <w:proofErr w:type="spellEnd"/>
      <w:r w:rsidRPr="004B5D58">
        <w:t xml:space="preserve"> knock-on supply chain effects in term of certainty, price and delivery of critical end-products and major infrastructure – potentially hindering the UK’s efforts to level up and reach net-zero through uplifted public </w:t>
      </w:r>
      <w:r w:rsidR="003F5357" w:rsidRPr="004B5D58">
        <w:t xml:space="preserve">infrastructure </w:t>
      </w:r>
      <w:r w:rsidRPr="004B5D58">
        <w:t>investment.</w:t>
      </w:r>
      <w:r w:rsidR="00D2220A" w:rsidRPr="004B5D58">
        <w:t xml:space="preserve"> </w:t>
      </w:r>
      <w:r w:rsidR="003F5357" w:rsidRPr="004B5D58">
        <w:t>With the West Midlands’ industrial makeup, we will be disproportionately affected by these impacts</w:t>
      </w:r>
      <w:r w:rsidR="00B50D88" w:rsidRPr="004B5D58">
        <w:t>, particularly threatening to the automotive, aerospace and construction sectors</w:t>
      </w:r>
      <w:r w:rsidR="002F593B" w:rsidRPr="004B5D58">
        <w:t xml:space="preserve">. </w:t>
      </w:r>
      <w:proofErr w:type="spellStart"/>
      <w:r w:rsidR="00603A30" w:rsidRPr="004B5D58">
        <w:t>Govenment</w:t>
      </w:r>
      <w:proofErr w:type="spellEnd"/>
      <w:r w:rsidR="00603A30" w:rsidRPr="004B5D58">
        <w:t xml:space="preserve"> has increased estimates of the amount of steel it will need for its infrastructure investment plans over the next decade by more than 50</w:t>
      </w:r>
      <w:r w:rsidR="00CD234D" w:rsidRPr="004B5D58">
        <w:t>%</w:t>
      </w:r>
      <w:r w:rsidR="007752EA">
        <w:rPr>
          <w:rStyle w:val="FootnoteReference"/>
        </w:rPr>
        <w:footnoteReference w:id="4"/>
      </w:r>
      <w:r w:rsidR="00603A30" w:rsidRPr="004B5D58">
        <w:t xml:space="preserve">, and </w:t>
      </w:r>
      <w:r w:rsidR="00C46EB7" w:rsidRPr="004B5D58">
        <w:t>w</w:t>
      </w:r>
      <w:r w:rsidR="003E24FF" w:rsidRPr="004B5D58">
        <w:t xml:space="preserve">e are keen to work collaboratively with government on how </w:t>
      </w:r>
      <w:r w:rsidR="002F593B" w:rsidRPr="004B5D58">
        <w:t>our region</w:t>
      </w:r>
      <w:r w:rsidR="00FE5E52" w:rsidRPr="004B5D58">
        <w:t xml:space="preserve"> can support </w:t>
      </w:r>
      <w:r w:rsidR="00C46EB7" w:rsidRPr="004B5D58">
        <w:t>meeting this demand</w:t>
      </w:r>
      <w:r w:rsidR="002F593B" w:rsidRPr="004B5D58">
        <w:t xml:space="preserve"> w</w:t>
      </w:r>
      <w:r w:rsidR="002403AE" w:rsidRPr="004B5D58">
        <w:t>ithout breaching quotas and incurring tariff</w:t>
      </w:r>
      <w:r w:rsidR="002F593B" w:rsidRPr="004B5D58">
        <w:t>s.</w:t>
      </w:r>
    </w:p>
    <w:p w14:paraId="20C313CF" w14:textId="01A3D5EF" w:rsidR="007E5123" w:rsidRPr="004B5D58" w:rsidRDefault="00CF61D8" w:rsidP="00CE35C1">
      <w:pPr>
        <w:ind w:right="-488"/>
        <w:jc w:val="both"/>
      </w:pPr>
      <w:r w:rsidRPr="004B5D58">
        <w:t>In the short-term</w:t>
      </w:r>
      <w:r w:rsidR="007F310B">
        <w:t xml:space="preserve">, </w:t>
      </w:r>
      <w:r w:rsidR="00DD3A46" w:rsidRPr="004B5D58">
        <w:t xml:space="preserve">a solution to this problem </w:t>
      </w:r>
      <w:r w:rsidRPr="004B5D58">
        <w:t>is essential for the efficient delivery of local and national infrastructure plans, driving economic recovery. Longer-term, the metals and materials sector will be critical to delivering net-zero and driving a circular economy, leading the way on levelling-up.</w:t>
      </w:r>
    </w:p>
    <w:p w14:paraId="7395CD30" w14:textId="77777777" w:rsidR="00B22C4A" w:rsidRPr="004B5D58" w:rsidRDefault="00B22C4A" w:rsidP="00D55302">
      <w:pPr>
        <w:spacing w:line="276" w:lineRule="auto"/>
        <w:ind w:right="-2859"/>
        <w:jc w:val="both"/>
        <w:rPr>
          <w:szCs w:val="22"/>
        </w:rPr>
      </w:pPr>
    </w:p>
    <w:p w14:paraId="25FD38BC" w14:textId="59F6A444" w:rsidR="00E16168" w:rsidRPr="00622C52" w:rsidRDefault="00622C52" w:rsidP="00E16168">
      <w:pPr>
        <w:spacing w:after="160" w:line="259" w:lineRule="auto"/>
        <w:rPr>
          <w:rFonts w:eastAsia="Calibri"/>
          <w:b/>
          <w:bCs/>
          <w:sz w:val="24"/>
        </w:rPr>
      </w:pPr>
      <w:r>
        <w:rPr>
          <w:rFonts w:eastAsia="Calibri"/>
          <w:b/>
          <w:bCs/>
          <w:sz w:val="24"/>
        </w:rPr>
        <w:t>Supporting Evidence</w:t>
      </w:r>
    </w:p>
    <w:p w14:paraId="7E76391E" w14:textId="1BF94DD9" w:rsidR="00E16168" w:rsidRPr="004B5D58" w:rsidRDefault="00E16168" w:rsidP="00E16168">
      <w:pPr>
        <w:spacing w:after="160" w:line="259" w:lineRule="auto"/>
        <w:rPr>
          <w:rFonts w:eastAsia="Calibri"/>
          <w:szCs w:val="22"/>
        </w:rPr>
      </w:pPr>
      <w:r w:rsidRPr="004B5D58">
        <w:rPr>
          <w:rFonts w:eastAsia="Calibri"/>
          <w:szCs w:val="22"/>
        </w:rPr>
        <w:t xml:space="preserve">Quotas are resulting in firms </w:t>
      </w:r>
      <w:r w:rsidRPr="007F310B">
        <w:rPr>
          <w:rFonts w:eastAsia="Calibri"/>
          <w:b/>
          <w:bCs/>
          <w:szCs w:val="22"/>
        </w:rPr>
        <w:t>facing 25% tariffs</w:t>
      </w:r>
      <w:r w:rsidRPr="007F310B">
        <w:rPr>
          <w:rFonts w:eastAsia="Calibri"/>
          <w:b/>
          <w:bCs/>
          <w:szCs w:val="22"/>
          <w:vertAlign w:val="superscript"/>
        </w:rPr>
        <w:footnoteReference w:id="5"/>
      </w:r>
      <w:r w:rsidRPr="004B5D58">
        <w:rPr>
          <w:rFonts w:eastAsia="Calibri"/>
          <w:szCs w:val="22"/>
        </w:rPr>
        <w:t xml:space="preserve"> on products they </w:t>
      </w:r>
      <w:r w:rsidRPr="004B5D58">
        <w:rPr>
          <w:rFonts w:eastAsia="Calibri"/>
          <w:b/>
          <w:bCs/>
          <w:i/>
          <w:iCs/>
          <w:szCs w:val="22"/>
        </w:rPr>
        <w:t xml:space="preserve">have </w:t>
      </w:r>
      <w:r w:rsidRPr="004B5D58">
        <w:rPr>
          <w:rFonts w:eastAsia="Calibri"/>
          <w:b/>
          <w:bCs/>
          <w:szCs w:val="22"/>
        </w:rPr>
        <w:t>to import</w:t>
      </w:r>
      <w:r w:rsidRPr="004B5D58">
        <w:rPr>
          <w:rFonts w:eastAsia="Calibri"/>
          <w:szCs w:val="22"/>
        </w:rPr>
        <w:t>,</w:t>
      </w:r>
      <w:r w:rsidR="003A3ADD">
        <w:rPr>
          <w:rFonts w:eastAsia="Calibri"/>
          <w:szCs w:val="22"/>
        </w:rPr>
        <w:t xml:space="preserve"> </w:t>
      </w:r>
      <w:r w:rsidRPr="004B5D58">
        <w:rPr>
          <w:rFonts w:eastAsia="Calibri"/>
          <w:szCs w:val="22"/>
        </w:rPr>
        <w:t xml:space="preserve">impacting companies that are already financially vulnerable as a result of the pandemic. Due to long industry lead times (up to 6 months), when firms place an import order, they have no way of knowing whether the quota will exhaust and whether they will pay a tariff on arrival. </w:t>
      </w:r>
    </w:p>
    <w:p w14:paraId="187A3647" w14:textId="462C332E" w:rsidR="00E16168" w:rsidRPr="004B5D58" w:rsidRDefault="00E16168" w:rsidP="00E16168">
      <w:pPr>
        <w:spacing w:after="160" w:line="259" w:lineRule="auto"/>
        <w:rPr>
          <w:rFonts w:eastAsia="Calibri"/>
          <w:szCs w:val="22"/>
        </w:rPr>
      </w:pPr>
      <w:r w:rsidRPr="004B5D58">
        <w:rPr>
          <w:rFonts w:eastAsia="Calibri"/>
          <w:szCs w:val="22"/>
        </w:rPr>
        <w:t>This</w:t>
      </w:r>
      <w:r w:rsidR="00583C0D">
        <w:rPr>
          <w:rFonts w:eastAsia="Calibri"/>
          <w:szCs w:val="22"/>
        </w:rPr>
        <w:t xml:space="preserve"> </w:t>
      </w:r>
      <w:r w:rsidRPr="004B5D58">
        <w:rPr>
          <w:rFonts w:eastAsia="Calibri"/>
          <w:szCs w:val="22"/>
        </w:rPr>
        <w:t xml:space="preserve">particularly </w:t>
      </w:r>
      <w:r w:rsidRPr="004B5D58">
        <w:rPr>
          <w:rFonts w:eastAsia="Calibri"/>
          <w:b/>
          <w:bCs/>
          <w:szCs w:val="22"/>
        </w:rPr>
        <w:t>damage</w:t>
      </w:r>
      <w:r w:rsidR="00583C0D">
        <w:rPr>
          <w:rFonts w:eastAsia="Calibri"/>
          <w:b/>
          <w:bCs/>
          <w:szCs w:val="22"/>
        </w:rPr>
        <w:t>s</w:t>
      </w:r>
      <w:r w:rsidRPr="004B5D58">
        <w:rPr>
          <w:rFonts w:eastAsia="Calibri"/>
          <w:b/>
          <w:bCs/>
          <w:szCs w:val="22"/>
        </w:rPr>
        <w:t xml:space="preserve"> SME, supply chain firms</w:t>
      </w:r>
      <w:r w:rsidRPr="004B5D58">
        <w:rPr>
          <w:rFonts w:eastAsia="Calibri"/>
          <w:szCs w:val="22"/>
        </w:rPr>
        <w:t xml:space="preserve">, reflecting the need to acknowledge the difference in experience for large core steel production firms and downstream supply chains. </w:t>
      </w:r>
      <w:r w:rsidRPr="004B5D58">
        <w:rPr>
          <w:rFonts w:eastAsia="Calibri"/>
          <w:b/>
          <w:bCs/>
          <w:szCs w:val="22"/>
        </w:rPr>
        <w:t xml:space="preserve">These smaller steel using firms are currently caught </w:t>
      </w:r>
      <w:r w:rsidRPr="007F310B">
        <w:rPr>
          <w:rFonts w:eastAsia="Calibri"/>
          <w:szCs w:val="22"/>
        </w:rPr>
        <w:t>–</w:t>
      </w:r>
      <w:r w:rsidRPr="004B5D58">
        <w:rPr>
          <w:rFonts w:eastAsia="Calibri"/>
          <w:b/>
          <w:bCs/>
          <w:szCs w:val="22"/>
        </w:rPr>
        <w:t xml:space="preserve"> paralysed</w:t>
      </w:r>
      <w:r w:rsidRPr="004B5D58">
        <w:rPr>
          <w:rFonts w:eastAsia="Calibri"/>
          <w:szCs w:val="22"/>
        </w:rPr>
        <w:t xml:space="preserve"> – unable to pass on price changes when quota-induced tariffs apply, while having the inability to plan </w:t>
      </w:r>
      <w:r w:rsidRPr="004B5D58">
        <w:rPr>
          <w:rFonts w:eastAsia="Calibri"/>
          <w:szCs w:val="22"/>
        </w:rPr>
        <w:lastRenderedPageBreak/>
        <w:t>ahead and being constrained to new opportunities. This constraint, driven by the risk of tariffs, is causing downstream steel users to curtail their activity and output – negatively impacting UK Plc</w:t>
      </w:r>
      <w:r w:rsidR="00CF0456">
        <w:rPr>
          <w:rFonts w:eastAsia="Calibri"/>
          <w:szCs w:val="22"/>
        </w:rPr>
        <w:t xml:space="preserve"> and local economies.</w:t>
      </w:r>
    </w:p>
    <w:p w14:paraId="1BBB08F2" w14:textId="068F39FE" w:rsidR="00533DC5" w:rsidRDefault="00E16168" w:rsidP="00E16168">
      <w:pPr>
        <w:spacing w:after="160" w:line="259" w:lineRule="auto"/>
        <w:rPr>
          <w:rFonts w:eastAsia="Calibri"/>
          <w:szCs w:val="22"/>
        </w:rPr>
      </w:pPr>
      <w:r w:rsidRPr="004B5D58">
        <w:rPr>
          <w:rFonts w:eastAsia="Calibri"/>
          <w:szCs w:val="22"/>
        </w:rPr>
        <w:t>The scale of the consequence is reflected in that, of the 1,100 steel businesses in the UK</w:t>
      </w:r>
      <w:r w:rsidRPr="004B5D58">
        <w:rPr>
          <w:rFonts w:eastAsia="Calibri"/>
          <w:szCs w:val="22"/>
          <w:vertAlign w:val="superscript"/>
        </w:rPr>
        <w:footnoteReference w:id="6"/>
      </w:r>
      <w:r w:rsidRPr="004B5D58">
        <w:rPr>
          <w:rFonts w:eastAsia="Calibri"/>
          <w:szCs w:val="22"/>
        </w:rPr>
        <w:t>, over 90% employ only up to 50 people</w:t>
      </w:r>
      <w:r w:rsidRPr="004B5D58">
        <w:rPr>
          <w:rFonts w:eastAsia="Calibri"/>
          <w:szCs w:val="22"/>
          <w:vertAlign w:val="superscript"/>
        </w:rPr>
        <w:footnoteReference w:id="7"/>
      </w:r>
      <w:r w:rsidRPr="004B5D58">
        <w:rPr>
          <w:rFonts w:eastAsia="Calibri"/>
          <w:szCs w:val="22"/>
        </w:rPr>
        <w:t xml:space="preserve">, revealing the </w:t>
      </w:r>
      <w:r w:rsidRPr="004B5D58">
        <w:rPr>
          <w:rFonts w:eastAsia="Calibri"/>
          <w:b/>
          <w:bCs/>
          <w:szCs w:val="22"/>
        </w:rPr>
        <w:t xml:space="preserve">major economic contribution of smaller, downstream steel firms </w:t>
      </w:r>
      <w:r w:rsidRPr="004B5D58">
        <w:rPr>
          <w:rFonts w:eastAsia="Calibri"/>
          <w:szCs w:val="22"/>
        </w:rPr>
        <w:t xml:space="preserve">– not just the core steel producers. </w:t>
      </w:r>
      <w:r w:rsidR="00F0740C">
        <w:rPr>
          <w:rFonts w:eastAsia="Calibri"/>
          <w:szCs w:val="22"/>
        </w:rPr>
        <w:t>Furthermore, jobs data</w:t>
      </w:r>
      <w:r w:rsidR="00D1183D">
        <w:rPr>
          <w:rStyle w:val="FootnoteReference"/>
          <w:rFonts w:eastAsia="Calibri"/>
          <w:szCs w:val="22"/>
        </w:rPr>
        <w:footnoteReference w:id="8"/>
      </w:r>
      <w:r w:rsidR="00F0740C">
        <w:rPr>
          <w:rFonts w:eastAsia="Calibri"/>
          <w:szCs w:val="22"/>
        </w:rPr>
        <w:t xml:space="preserve"> demonstrates that</w:t>
      </w:r>
      <w:r w:rsidR="00CF0456">
        <w:rPr>
          <w:rFonts w:eastAsia="Calibri"/>
          <w:szCs w:val="22"/>
        </w:rPr>
        <w:t xml:space="preserve"> </w:t>
      </w:r>
      <w:r w:rsidR="00377688">
        <w:rPr>
          <w:rFonts w:eastAsia="Calibri"/>
          <w:szCs w:val="22"/>
        </w:rPr>
        <w:t>there are</w:t>
      </w:r>
      <w:r w:rsidR="00FE2145">
        <w:rPr>
          <w:rFonts w:eastAsia="Calibri"/>
          <w:szCs w:val="22"/>
        </w:rPr>
        <w:t xml:space="preserve"> estimated to be </w:t>
      </w:r>
      <w:r w:rsidR="00377688">
        <w:rPr>
          <w:rFonts w:eastAsia="Calibri"/>
          <w:szCs w:val="22"/>
        </w:rPr>
        <w:t xml:space="preserve">many more jobs </w:t>
      </w:r>
      <w:r w:rsidR="00CD5D4D">
        <w:rPr>
          <w:rFonts w:eastAsia="Calibri"/>
          <w:szCs w:val="22"/>
        </w:rPr>
        <w:t>overall within companies that are</w:t>
      </w:r>
      <w:r w:rsidR="00377688">
        <w:rPr>
          <w:rFonts w:eastAsia="Calibri"/>
          <w:szCs w:val="22"/>
        </w:rPr>
        <w:t xml:space="preserve"> </w:t>
      </w:r>
      <w:r w:rsidR="00B872AA">
        <w:rPr>
          <w:rFonts w:eastAsia="Calibri"/>
          <w:szCs w:val="22"/>
        </w:rPr>
        <w:t>downstream users of steel</w:t>
      </w:r>
      <w:r w:rsidR="00377688">
        <w:rPr>
          <w:rFonts w:eastAsia="Calibri"/>
          <w:szCs w:val="22"/>
        </w:rPr>
        <w:t xml:space="preserve"> compared to core steel production.</w:t>
      </w:r>
      <w:r w:rsidR="00B44A3B">
        <w:rPr>
          <w:rStyle w:val="FootnoteReference"/>
          <w:rFonts w:eastAsia="Calibri"/>
          <w:szCs w:val="22"/>
        </w:rPr>
        <w:footnoteReference w:id="9"/>
      </w:r>
      <w:r w:rsidR="003E2545">
        <w:rPr>
          <w:rFonts w:eastAsia="Calibri"/>
          <w:szCs w:val="22"/>
        </w:rPr>
        <w:t xml:space="preserve"> This is the case in the West Midlands and across Great Britain</w:t>
      </w:r>
      <w:r w:rsidR="00FE2145">
        <w:rPr>
          <w:rFonts w:eastAsia="Calibri"/>
          <w:szCs w:val="22"/>
        </w:rPr>
        <w:t xml:space="preserve"> (see Table 1)</w:t>
      </w:r>
      <w:r w:rsidR="003E2545">
        <w:rPr>
          <w:rFonts w:eastAsia="Calibri"/>
          <w:szCs w:val="22"/>
        </w:rPr>
        <w:t xml:space="preserve">, </w:t>
      </w:r>
      <w:r w:rsidR="00533DC5">
        <w:rPr>
          <w:rFonts w:eastAsia="Calibri"/>
          <w:szCs w:val="22"/>
        </w:rPr>
        <w:t>reflecting the scale of this downstream part of the metals and materials industry.</w:t>
      </w:r>
    </w:p>
    <w:p w14:paraId="7A174AE2" w14:textId="73EF0D66" w:rsidR="00533DC5" w:rsidRPr="00533DC5" w:rsidRDefault="00533DC5" w:rsidP="00E16168">
      <w:pPr>
        <w:spacing w:after="160" w:line="259" w:lineRule="auto"/>
        <w:rPr>
          <w:rFonts w:eastAsia="Calibri"/>
          <w:b/>
          <w:bCs/>
          <w:szCs w:val="22"/>
        </w:rPr>
      </w:pPr>
      <w:r w:rsidRPr="00533DC5">
        <w:rPr>
          <w:rFonts w:eastAsia="Calibri"/>
          <w:b/>
          <w:bCs/>
          <w:szCs w:val="22"/>
        </w:rPr>
        <w:t>Table</w:t>
      </w:r>
      <w:r>
        <w:rPr>
          <w:rFonts w:eastAsia="Calibri"/>
          <w:b/>
          <w:bCs/>
          <w:szCs w:val="22"/>
        </w:rPr>
        <w:t xml:space="preserve"> 1</w:t>
      </w:r>
      <w:r w:rsidR="00B3654F">
        <w:rPr>
          <w:rFonts w:eastAsia="Calibri"/>
          <w:b/>
          <w:bCs/>
          <w:szCs w:val="22"/>
        </w:rPr>
        <w:t>: Estimated Jobs by Steel / Metals Sub-Sector</w:t>
      </w:r>
    </w:p>
    <w:tbl>
      <w:tblPr>
        <w:tblStyle w:val="TableGrid"/>
        <w:tblW w:w="8696" w:type="dxa"/>
        <w:tblLook w:val="04A0" w:firstRow="1" w:lastRow="0" w:firstColumn="1" w:lastColumn="0" w:noHBand="0" w:noVBand="1"/>
      </w:tblPr>
      <w:tblGrid>
        <w:gridCol w:w="4168"/>
        <w:gridCol w:w="1117"/>
        <w:gridCol w:w="1117"/>
        <w:gridCol w:w="1177"/>
        <w:gridCol w:w="1117"/>
      </w:tblGrid>
      <w:tr w:rsidR="00CB6EDA" w:rsidRPr="00CB6EDA" w14:paraId="71F8E2A8" w14:textId="77777777" w:rsidTr="00FE2145">
        <w:trPr>
          <w:trHeight w:val="560"/>
        </w:trPr>
        <w:tc>
          <w:tcPr>
            <w:tcW w:w="4168" w:type="dxa"/>
            <w:shd w:val="clear" w:color="auto" w:fill="9CC2E5" w:themeFill="accent1" w:themeFillTint="99"/>
            <w:noWrap/>
            <w:hideMark/>
          </w:tcPr>
          <w:p w14:paraId="1000DE87" w14:textId="73E8EF31" w:rsidR="00CB6EDA" w:rsidRPr="00FE2145" w:rsidRDefault="00CB6EDA" w:rsidP="00CB6EDA">
            <w:pPr>
              <w:spacing w:after="160" w:line="259" w:lineRule="auto"/>
              <w:rPr>
                <w:b/>
                <w:bCs/>
                <w:i/>
                <w:iCs/>
                <w:szCs w:val="22"/>
              </w:rPr>
            </w:pPr>
            <w:r w:rsidRPr="00FE2145">
              <w:rPr>
                <w:b/>
                <w:bCs/>
                <w:i/>
                <w:iCs/>
                <w:szCs w:val="22"/>
              </w:rPr>
              <w:t>Estimated Jobs by Metals and Materials Sub-Sector</w:t>
            </w:r>
          </w:p>
        </w:tc>
        <w:tc>
          <w:tcPr>
            <w:tcW w:w="1117" w:type="dxa"/>
            <w:shd w:val="clear" w:color="auto" w:fill="9CC2E5" w:themeFill="accent1" w:themeFillTint="99"/>
            <w:vAlign w:val="center"/>
            <w:hideMark/>
          </w:tcPr>
          <w:p w14:paraId="0C65AA54" w14:textId="05615572" w:rsidR="00CB6EDA" w:rsidRPr="00FE2145" w:rsidRDefault="00CB6EDA" w:rsidP="00FE2145">
            <w:pPr>
              <w:spacing w:after="160" w:line="259" w:lineRule="auto"/>
              <w:jc w:val="center"/>
              <w:rPr>
                <w:b/>
                <w:bCs/>
                <w:szCs w:val="22"/>
              </w:rPr>
            </w:pPr>
            <w:r w:rsidRPr="00FE2145">
              <w:rPr>
                <w:b/>
                <w:bCs/>
                <w:szCs w:val="22"/>
              </w:rPr>
              <w:t>WMCA</w:t>
            </w:r>
            <w:r w:rsidR="00533DC5" w:rsidRPr="00FE2145">
              <w:rPr>
                <w:b/>
                <w:bCs/>
                <w:szCs w:val="22"/>
              </w:rPr>
              <w:t xml:space="preserve"> 3-LEP</w:t>
            </w:r>
            <w:r w:rsidR="00633F31">
              <w:rPr>
                <w:rStyle w:val="FootnoteReference"/>
                <w:b/>
                <w:bCs/>
                <w:szCs w:val="22"/>
              </w:rPr>
              <w:footnoteReference w:id="10"/>
            </w:r>
          </w:p>
        </w:tc>
        <w:tc>
          <w:tcPr>
            <w:tcW w:w="1117" w:type="dxa"/>
            <w:shd w:val="clear" w:color="auto" w:fill="9CC2E5" w:themeFill="accent1" w:themeFillTint="99"/>
            <w:noWrap/>
            <w:vAlign w:val="center"/>
            <w:hideMark/>
          </w:tcPr>
          <w:p w14:paraId="3343FE5B" w14:textId="77777777" w:rsidR="00CB6EDA" w:rsidRPr="00FE2145" w:rsidRDefault="00CB6EDA" w:rsidP="00FE2145">
            <w:pPr>
              <w:spacing w:after="160" w:line="259" w:lineRule="auto"/>
              <w:jc w:val="center"/>
              <w:rPr>
                <w:b/>
                <w:bCs/>
                <w:szCs w:val="22"/>
              </w:rPr>
            </w:pPr>
            <w:r w:rsidRPr="00FE2145">
              <w:rPr>
                <w:b/>
                <w:bCs/>
                <w:szCs w:val="22"/>
              </w:rPr>
              <w:t>%</w:t>
            </w:r>
          </w:p>
        </w:tc>
        <w:tc>
          <w:tcPr>
            <w:tcW w:w="1177" w:type="dxa"/>
            <w:shd w:val="clear" w:color="auto" w:fill="9CC2E5" w:themeFill="accent1" w:themeFillTint="99"/>
            <w:noWrap/>
            <w:vAlign w:val="center"/>
            <w:hideMark/>
          </w:tcPr>
          <w:p w14:paraId="5281B87B" w14:textId="77777777" w:rsidR="00CB6EDA" w:rsidRPr="00FE2145" w:rsidRDefault="00CB6EDA" w:rsidP="00FE2145">
            <w:pPr>
              <w:spacing w:after="160" w:line="259" w:lineRule="auto"/>
              <w:jc w:val="center"/>
              <w:rPr>
                <w:b/>
                <w:bCs/>
                <w:szCs w:val="22"/>
              </w:rPr>
            </w:pPr>
            <w:r w:rsidRPr="00FE2145">
              <w:rPr>
                <w:b/>
                <w:bCs/>
                <w:szCs w:val="22"/>
              </w:rPr>
              <w:t>Great Britain</w:t>
            </w:r>
          </w:p>
        </w:tc>
        <w:tc>
          <w:tcPr>
            <w:tcW w:w="1117" w:type="dxa"/>
            <w:shd w:val="clear" w:color="auto" w:fill="9CC2E5" w:themeFill="accent1" w:themeFillTint="99"/>
            <w:noWrap/>
            <w:vAlign w:val="center"/>
            <w:hideMark/>
          </w:tcPr>
          <w:p w14:paraId="558F3534" w14:textId="77777777" w:rsidR="00CB6EDA" w:rsidRPr="00FE2145" w:rsidRDefault="00CB6EDA" w:rsidP="00FE2145">
            <w:pPr>
              <w:spacing w:after="160" w:line="259" w:lineRule="auto"/>
              <w:jc w:val="center"/>
              <w:rPr>
                <w:b/>
                <w:bCs/>
                <w:szCs w:val="22"/>
              </w:rPr>
            </w:pPr>
            <w:r w:rsidRPr="00FE2145">
              <w:rPr>
                <w:b/>
                <w:bCs/>
                <w:szCs w:val="22"/>
              </w:rPr>
              <w:t>%</w:t>
            </w:r>
          </w:p>
        </w:tc>
      </w:tr>
      <w:tr w:rsidR="00CB6EDA" w:rsidRPr="00CB6EDA" w14:paraId="27D132A4" w14:textId="77777777" w:rsidTr="00FE2145">
        <w:trPr>
          <w:trHeight w:val="140"/>
        </w:trPr>
        <w:tc>
          <w:tcPr>
            <w:tcW w:w="4168" w:type="dxa"/>
            <w:noWrap/>
            <w:vAlign w:val="center"/>
            <w:hideMark/>
          </w:tcPr>
          <w:p w14:paraId="741C2DE8" w14:textId="3BDF2B8A" w:rsidR="00CB6EDA" w:rsidRPr="00CB6EDA" w:rsidRDefault="00CB6EDA" w:rsidP="00FE2145">
            <w:pPr>
              <w:spacing w:after="160" w:line="259" w:lineRule="auto"/>
              <w:rPr>
                <w:szCs w:val="22"/>
              </w:rPr>
            </w:pPr>
            <w:r w:rsidRPr="00CB6EDA">
              <w:rPr>
                <w:szCs w:val="22"/>
              </w:rPr>
              <w:t>Core Steel Sector</w:t>
            </w:r>
            <w:r w:rsidR="00D1183D">
              <w:rPr>
                <w:szCs w:val="22"/>
              </w:rPr>
              <w:t xml:space="preserve"> (Producers)</w:t>
            </w:r>
          </w:p>
        </w:tc>
        <w:tc>
          <w:tcPr>
            <w:tcW w:w="1117" w:type="dxa"/>
            <w:noWrap/>
            <w:vAlign w:val="center"/>
            <w:hideMark/>
          </w:tcPr>
          <w:p w14:paraId="781A0641" w14:textId="77777777" w:rsidR="00CB6EDA" w:rsidRPr="00CB6EDA" w:rsidRDefault="00CB6EDA" w:rsidP="00FE2145">
            <w:pPr>
              <w:spacing w:after="160" w:line="259" w:lineRule="auto"/>
              <w:jc w:val="center"/>
              <w:rPr>
                <w:szCs w:val="22"/>
              </w:rPr>
            </w:pPr>
            <w:r w:rsidRPr="00CB6EDA">
              <w:rPr>
                <w:szCs w:val="22"/>
              </w:rPr>
              <w:t>4,315</w:t>
            </w:r>
          </w:p>
        </w:tc>
        <w:tc>
          <w:tcPr>
            <w:tcW w:w="1117" w:type="dxa"/>
            <w:noWrap/>
            <w:vAlign w:val="center"/>
            <w:hideMark/>
          </w:tcPr>
          <w:p w14:paraId="196ED7E3" w14:textId="77777777" w:rsidR="00CB6EDA" w:rsidRPr="00CB6EDA" w:rsidRDefault="00CB6EDA" w:rsidP="00FE2145">
            <w:pPr>
              <w:spacing w:after="160" w:line="259" w:lineRule="auto"/>
              <w:jc w:val="center"/>
              <w:rPr>
                <w:szCs w:val="22"/>
              </w:rPr>
            </w:pPr>
            <w:r w:rsidRPr="00CB6EDA">
              <w:rPr>
                <w:szCs w:val="22"/>
              </w:rPr>
              <w:t>9%</w:t>
            </w:r>
          </w:p>
        </w:tc>
        <w:tc>
          <w:tcPr>
            <w:tcW w:w="1177" w:type="dxa"/>
            <w:noWrap/>
            <w:vAlign w:val="center"/>
            <w:hideMark/>
          </w:tcPr>
          <w:p w14:paraId="4C5CE513" w14:textId="77777777" w:rsidR="00CB6EDA" w:rsidRPr="00CB6EDA" w:rsidRDefault="00CB6EDA" w:rsidP="00FE2145">
            <w:pPr>
              <w:spacing w:after="160" w:line="259" w:lineRule="auto"/>
              <w:jc w:val="center"/>
              <w:rPr>
                <w:szCs w:val="22"/>
              </w:rPr>
            </w:pPr>
            <w:r w:rsidRPr="00CB6EDA">
              <w:rPr>
                <w:szCs w:val="22"/>
              </w:rPr>
              <w:t>32,575</w:t>
            </w:r>
          </w:p>
        </w:tc>
        <w:tc>
          <w:tcPr>
            <w:tcW w:w="1117" w:type="dxa"/>
            <w:noWrap/>
            <w:vAlign w:val="center"/>
            <w:hideMark/>
          </w:tcPr>
          <w:p w14:paraId="22CCD9EE" w14:textId="77777777" w:rsidR="00CB6EDA" w:rsidRPr="00CB6EDA" w:rsidRDefault="00CB6EDA" w:rsidP="00FE2145">
            <w:pPr>
              <w:spacing w:after="160" w:line="259" w:lineRule="auto"/>
              <w:jc w:val="center"/>
              <w:rPr>
                <w:szCs w:val="22"/>
              </w:rPr>
            </w:pPr>
            <w:r w:rsidRPr="00CB6EDA">
              <w:rPr>
                <w:szCs w:val="22"/>
              </w:rPr>
              <w:t>9%</w:t>
            </w:r>
          </w:p>
        </w:tc>
      </w:tr>
      <w:tr w:rsidR="00CB6EDA" w:rsidRPr="00CB6EDA" w14:paraId="53010110" w14:textId="77777777" w:rsidTr="00FE2145">
        <w:trPr>
          <w:trHeight w:val="140"/>
        </w:trPr>
        <w:tc>
          <w:tcPr>
            <w:tcW w:w="4168" w:type="dxa"/>
            <w:noWrap/>
            <w:vAlign w:val="center"/>
            <w:hideMark/>
          </w:tcPr>
          <w:p w14:paraId="1F907361" w14:textId="3E70D6D2" w:rsidR="00CB6EDA" w:rsidRPr="00CB6EDA" w:rsidRDefault="00CB6EDA" w:rsidP="00FE2145">
            <w:pPr>
              <w:spacing w:after="160" w:line="259" w:lineRule="auto"/>
              <w:rPr>
                <w:szCs w:val="22"/>
              </w:rPr>
            </w:pPr>
            <w:r w:rsidRPr="00CB6EDA">
              <w:rPr>
                <w:szCs w:val="22"/>
              </w:rPr>
              <w:t>Downstream Steel Users</w:t>
            </w:r>
          </w:p>
        </w:tc>
        <w:tc>
          <w:tcPr>
            <w:tcW w:w="1117" w:type="dxa"/>
            <w:noWrap/>
            <w:vAlign w:val="center"/>
            <w:hideMark/>
          </w:tcPr>
          <w:p w14:paraId="03A713C1" w14:textId="77777777" w:rsidR="00CB6EDA" w:rsidRPr="00CB6EDA" w:rsidRDefault="00CB6EDA" w:rsidP="00FE2145">
            <w:pPr>
              <w:spacing w:after="160" w:line="259" w:lineRule="auto"/>
              <w:jc w:val="center"/>
              <w:rPr>
                <w:szCs w:val="22"/>
              </w:rPr>
            </w:pPr>
            <w:r w:rsidRPr="00CB6EDA">
              <w:rPr>
                <w:szCs w:val="22"/>
              </w:rPr>
              <w:t>38,955</w:t>
            </w:r>
          </w:p>
        </w:tc>
        <w:tc>
          <w:tcPr>
            <w:tcW w:w="1117" w:type="dxa"/>
            <w:noWrap/>
            <w:vAlign w:val="center"/>
            <w:hideMark/>
          </w:tcPr>
          <w:p w14:paraId="3BAD797A" w14:textId="77777777" w:rsidR="00CB6EDA" w:rsidRPr="00CB6EDA" w:rsidRDefault="00CB6EDA" w:rsidP="00FE2145">
            <w:pPr>
              <w:spacing w:after="160" w:line="259" w:lineRule="auto"/>
              <w:jc w:val="center"/>
              <w:rPr>
                <w:szCs w:val="22"/>
              </w:rPr>
            </w:pPr>
            <w:r w:rsidRPr="00CB6EDA">
              <w:rPr>
                <w:szCs w:val="22"/>
              </w:rPr>
              <w:t>80%</w:t>
            </w:r>
          </w:p>
        </w:tc>
        <w:tc>
          <w:tcPr>
            <w:tcW w:w="1177" w:type="dxa"/>
            <w:noWrap/>
            <w:vAlign w:val="center"/>
            <w:hideMark/>
          </w:tcPr>
          <w:p w14:paraId="091A172A" w14:textId="77777777" w:rsidR="00CB6EDA" w:rsidRPr="00CB6EDA" w:rsidRDefault="00CB6EDA" w:rsidP="00FE2145">
            <w:pPr>
              <w:spacing w:after="160" w:line="259" w:lineRule="auto"/>
              <w:jc w:val="center"/>
              <w:rPr>
                <w:szCs w:val="22"/>
              </w:rPr>
            </w:pPr>
            <w:r w:rsidRPr="00CB6EDA">
              <w:rPr>
                <w:szCs w:val="22"/>
              </w:rPr>
              <w:t>289,000</w:t>
            </w:r>
          </w:p>
        </w:tc>
        <w:tc>
          <w:tcPr>
            <w:tcW w:w="1117" w:type="dxa"/>
            <w:noWrap/>
            <w:vAlign w:val="center"/>
            <w:hideMark/>
          </w:tcPr>
          <w:p w14:paraId="48F75191" w14:textId="77777777" w:rsidR="00CB6EDA" w:rsidRPr="00CB6EDA" w:rsidRDefault="00CB6EDA" w:rsidP="00FE2145">
            <w:pPr>
              <w:spacing w:after="160" w:line="259" w:lineRule="auto"/>
              <w:jc w:val="center"/>
              <w:rPr>
                <w:szCs w:val="22"/>
              </w:rPr>
            </w:pPr>
            <w:r w:rsidRPr="00CB6EDA">
              <w:rPr>
                <w:szCs w:val="22"/>
              </w:rPr>
              <w:t>81%</w:t>
            </w:r>
          </w:p>
        </w:tc>
      </w:tr>
      <w:tr w:rsidR="00CB6EDA" w:rsidRPr="00CB6EDA" w14:paraId="2F3EED36" w14:textId="77777777" w:rsidTr="00FE2145">
        <w:trPr>
          <w:trHeight w:val="140"/>
        </w:trPr>
        <w:tc>
          <w:tcPr>
            <w:tcW w:w="4168" w:type="dxa"/>
            <w:noWrap/>
            <w:vAlign w:val="center"/>
            <w:hideMark/>
          </w:tcPr>
          <w:p w14:paraId="6892B766" w14:textId="77777777" w:rsidR="00CB6EDA" w:rsidRPr="00CB6EDA" w:rsidRDefault="00CB6EDA" w:rsidP="00FE2145">
            <w:pPr>
              <w:spacing w:after="160" w:line="259" w:lineRule="auto"/>
              <w:rPr>
                <w:szCs w:val="22"/>
              </w:rPr>
            </w:pPr>
            <w:r w:rsidRPr="00CB6EDA">
              <w:rPr>
                <w:szCs w:val="22"/>
              </w:rPr>
              <w:t>Other Metals</w:t>
            </w:r>
          </w:p>
        </w:tc>
        <w:tc>
          <w:tcPr>
            <w:tcW w:w="1117" w:type="dxa"/>
            <w:noWrap/>
            <w:vAlign w:val="center"/>
            <w:hideMark/>
          </w:tcPr>
          <w:p w14:paraId="5F92B62B" w14:textId="77777777" w:rsidR="00CB6EDA" w:rsidRPr="00CB6EDA" w:rsidRDefault="00CB6EDA" w:rsidP="00FE2145">
            <w:pPr>
              <w:spacing w:after="160" w:line="259" w:lineRule="auto"/>
              <w:jc w:val="center"/>
              <w:rPr>
                <w:szCs w:val="22"/>
              </w:rPr>
            </w:pPr>
            <w:r w:rsidRPr="00CB6EDA">
              <w:rPr>
                <w:szCs w:val="22"/>
              </w:rPr>
              <w:t>5,730</w:t>
            </w:r>
          </w:p>
        </w:tc>
        <w:tc>
          <w:tcPr>
            <w:tcW w:w="1117" w:type="dxa"/>
            <w:noWrap/>
            <w:vAlign w:val="center"/>
            <w:hideMark/>
          </w:tcPr>
          <w:p w14:paraId="1A6381F7" w14:textId="77777777" w:rsidR="00CB6EDA" w:rsidRPr="00CB6EDA" w:rsidRDefault="00CB6EDA" w:rsidP="00FE2145">
            <w:pPr>
              <w:spacing w:after="160" w:line="259" w:lineRule="auto"/>
              <w:jc w:val="center"/>
              <w:rPr>
                <w:szCs w:val="22"/>
              </w:rPr>
            </w:pPr>
            <w:r w:rsidRPr="00CB6EDA">
              <w:rPr>
                <w:szCs w:val="22"/>
              </w:rPr>
              <w:t>12%</w:t>
            </w:r>
          </w:p>
        </w:tc>
        <w:tc>
          <w:tcPr>
            <w:tcW w:w="1177" w:type="dxa"/>
            <w:noWrap/>
            <w:vAlign w:val="center"/>
            <w:hideMark/>
          </w:tcPr>
          <w:p w14:paraId="767D9B3F" w14:textId="77777777" w:rsidR="00CB6EDA" w:rsidRPr="00CB6EDA" w:rsidRDefault="00CB6EDA" w:rsidP="00FE2145">
            <w:pPr>
              <w:spacing w:after="160" w:line="259" w:lineRule="auto"/>
              <w:jc w:val="center"/>
              <w:rPr>
                <w:szCs w:val="22"/>
              </w:rPr>
            </w:pPr>
            <w:r w:rsidRPr="00CB6EDA">
              <w:rPr>
                <w:szCs w:val="22"/>
              </w:rPr>
              <w:t>34,425</w:t>
            </w:r>
          </w:p>
        </w:tc>
        <w:tc>
          <w:tcPr>
            <w:tcW w:w="1117" w:type="dxa"/>
            <w:noWrap/>
            <w:vAlign w:val="center"/>
            <w:hideMark/>
          </w:tcPr>
          <w:p w14:paraId="4BB9BAC5" w14:textId="77777777" w:rsidR="00CB6EDA" w:rsidRPr="00CB6EDA" w:rsidRDefault="00CB6EDA" w:rsidP="00FE2145">
            <w:pPr>
              <w:spacing w:after="160" w:line="259" w:lineRule="auto"/>
              <w:jc w:val="center"/>
              <w:rPr>
                <w:szCs w:val="22"/>
              </w:rPr>
            </w:pPr>
            <w:r w:rsidRPr="00CB6EDA">
              <w:rPr>
                <w:szCs w:val="22"/>
              </w:rPr>
              <w:t>10%</w:t>
            </w:r>
          </w:p>
        </w:tc>
      </w:tr>
      <w:tr w:rsidR="00CB6EDA" w:rsidRPr="00CB6EDA" w14:paraId="4B9B12C0" w14:textId="77777777" w:rsidTr="00FE2145">
        <w:trPr>
          <w:trHeight w:val="140"/>
        </w:trPr>
        <w:tc>
          <w:tcPr>
            <w:tcW w:w="4168" w:type="dxa"/>
            <w:noWrap/>
            <w:vAlign w:val="center"/>
            <w:hideMark/>
          </w:tcPr>
          <w:p w14:paraId="1C1EFBB3" w14:textId="77777777" w:rsidR="00CB6EDA" w:rsidRPr="00CB6EDA" w:rsidRDefault="00CB6EDA" w:rsidP="00FE2145">
            <w:pPr>
              <w:spacing w:after="160" w:line="259" w:lineRule="auto"/>
              <w:rPr>
                <w:szCs w:val="22"/>
              </w:rPr>
            </w:pPr>
            <w:r w:rsidRPr="00CB6EDA">
              <w:rPr>
                <w:szCs w:val="22"/>
              </w:rPr>
              <w:t>Total</w:t>
            </w:r>
          </w:p>
        </w:tc>
        <w:tc>
          <w:tcPr>
            <w:tcW w:w="1117" w:type="dxa"/>
            <w:noWrap/>
            <w:vAlign w:val="center"/>
            <w:hideMark/>
          </w:tcPr>
          <w:p w14:paraId="6BAAB5A7" w14:textId="77777777" w:rsidR="00CB6EDA" w:rsidRPr="00CB6EDA" w:rsidRDefault="00CB6EDA" w:rsidP="00FE2145">
            <w:pPr>
              <w:spacing w:after="160" w:line="259" w:lineRule="auto"/>
              <w:jc w:val="center"/>
              <w:rPr>
                <w:szCs w:val="22"/>
              </w:rPr>
            </w:pPr>
            <w:r w:rsidRPr="00CB6EDA">
              <w:rPr>
                <w:szCs w:val="22"/>
              </w:rPr>
              <w:t>49,000</w:t>
            </w:r>
          </w:p>
        </w:tc>
        <w:tc>
          <w:tcPr>
            <w:tcW w:w="1117" w:type="dxa"/>
            <w:noWrap/>
            <w:vAlign w:val="center"/>
            <w:hideMark/>
          </w:tcPr>
          <w:p w14:paraId="0F07A748" w14:textId="77777777" w:rsidR="00CB6EDA" w:rsidRPr="00CB6EDA" w:rsidRDefault="00CB6EDA" w:rsidP="00FE2145">
            <w:pPr>
              <w:spacing w:after="160" w:line="259" w:lineRule="auto"/>
              <w:jc w:val="center"/>
              <w:rPr>
                <w:szCs w:val="22"/>
              </w:rPr>
            </w:pPr>
            <w:r w:rsidRPr="00CB6EDA">
              <w:rPr>
                <w:szCs w:val="22"/>
              </w:rPr>
              <w:t>100%</w:t>
            </w:r>
          </w:p>
        </w:tc>
        <w:tc>
          <w:tcPr>
            <w:tcW w:w="1177" w:type="dxa"/>
            <w:noWrap/>
            <w:vAlign w:val="center"/>
            <w:hideMark/>
          </w:tcPr>
          <w:p w14:paraId="33A91FF1" w14:textId="77777777" w:rsidR="00CB6EDA" w:rsidRPr="00CB6EDA" w:rsidRDefault="00CB6EDA" w:rsidP="00FE2145">
            <w:pPr>
              <w:spacing w:after="160" w:line="259" w:lineRule="auto"/>
              <w:jc w:val="center"/>
              <w:rPr>
                <w:szCs w:val="22"/>
              </w:rPr>
            </w:pPr>
            <w:r w:rsidRPr="00CB6EDA">
              <w:rPr>
                <w:szCs w:val="22"/>
              </w:rPr>
              <w:t>356,000</w:t>
            </w:r>
          </w:p>
        </w:tc>
        <w:tc>
          <w:tcPr>
            <w:tcW w:w="1117" w:type="dxa"/>
            <w:noWrap/>
            <w:vAlign w:val="center"/>
            <w:hideMark/>
          </w:tcPr>
          <w:p w14:paraId="7A3B2F86" w14:textId="77777777" w:rsidR="00CB6EDA" w:rsidRPr="00CB6EDA" w:rsidRDefault="00CB6EDA" w:rsidP="00FE2145">
            <w:pPr>
              <w:spacing w:after="160" w:line="259" w:lineRule="auto"/>
              <w:jc w:val="center"/>
              <w:rPr>
                <w:szCs w:val="22"/>
              </w:rPr>
            </w:pPr>
            <w:r w:rsidRPr="00CB6EDA">
              <w:rPr>
                <w:szCs w:val="22"/>
              </w:rPr>
              <w:t>100%</w:t>
            </w:r>
          </w:p>
        </w:tc>
      </w:tr>
    </w:tbl>
    <w:p w14:paraId="47661015" w14:textId="77777777" w:rsidR="00FE2145" w:rsidRPr="005A66F7" w:rsidRDefault="00FE2145" w:rsidP="00E16168">
      <w:pPr>
        <w:spacing w:after="160" w:line="259" w:lineRule="auto"/>
        <w:rPr>
          <w:rFonts w:eastAsia="Calibri"/>
          <w:sz w:val="2"/>
          <w:szCs w:val="2"/>
        </w:rPr>
      </w:pPr>
    </w:p>
    <w:p w14:paraId="2380F75E" w14:textId="69CBB831" w:rsidR="00E16168" w:rsidRPr="004B5D58" w:rsidRDefault="00E16168" w:rsidP="00E16168">
      <w:pPr>
        <w:spacing w:after="160" w:line="259" w:lineRule="auto"/>
        <w:rPr>
          <w:rFonts w:eastAsia="Calibri"/>
          <w:szCs w:val="22"/>
        </w:rPr>
      </w:pPr>
      <w:r w:rsidRPr="004B5D58">
        <w:rPr>
          <w:rFonts w:eastAsia="Calibri"/>
          <w:szCs w:val="22"/>
        </w:rPr>
        <w:t xml:space="preserve">Our objective is not to damage core steel producers but, in line with the workings of the </w:t>
      </w:r>
      <w:r w:rsidR="00223D26">
        <w:rPr>
          <w:rFonts w:eastAsia="Calibri"/>
          <w:szCs w:val="22"/>
        </w:rPr>
        <w:t>TRA,</w:t>
      </w:r>
      <w:r w:rsidRPr="004B5D58">
        <w:rPr>
          <w:rFonts w:eastAsia="Calibri"/>
          <w:szCs w:val="22"/>
        </w:rPr>
        <w:t xml:space="preserve"> to work towards a fairer settlement that re-balances the whole industry, particularly providing more certainty and equality of opportunity for downstream steel users.</w:t>
      </w:r>
    </w:p>
    <w:p w14:paraId="259EA61E" w14:textId="7E39F030" w:rsidR="00E16168" w:rsidRPr="004B5D58" w:rsidRDefault="00E16168" w:rsidP="00E16168">
      <w:pPr>
        <w:spacing w:after="160" w:line="259" w:lineRule="auto"/>
        <w:rPr>
          <w:rFonts w:eastAsia="Calibri"/>
          <w:szCs w:val="22"/>
        </w:rPr>
      </w:pPr>
      <w:r w:rsidRPr="004B5D58">
        <w:rPr>
          <w:rFonts w:eastAsia="Calibri"/>
          <w:szCs w:val="22"/>
        </w:rPr>
        <w:t xml:space="preserve">This crucial subset of the steel industry is concerned that some </w:t>
      </w:r>
      <w:r w:rsidRPr="004B5D58">
        <w:rPr>
          <w:rFonts w:eastAsia="Calibri"/>
          <w:b/>
          <w:bCs/>
          <w:szCs w:val="22"/>
        </w:rPr>
        <w:t>quotas will exhaust on a quarterly basis</w:t>
      </w:r>
      <w:r w:rsidRPr="004B5D58">
        <w:rPr>
          <w:rFonts w:eastAsia="Calibri"/>
          <w:szCs w:val="22"/>
        </w:rPr>
        <w:t xml:space="preserve">, resulting in firms incurring 25% safeguarding tariffs for imports, or limiting their output. These impacts are a concern related to a range of steel products within the categorisation system (see below), many of which are </w:t>
      </w:r>
      <w:r w:rsidRPr="004B5D58">
        <w:rPr>
          <w:rFonts w:eastAsia="Calibri"/>
          <w:b/>
          <w:bCs/>
          <w:szCs w:val="22"/>
        </w:rPr>
        <w:t>not manufactured at all on the UK, or not at sufficient scale to meet demand.</w:t>
      </w:r>
      <w:r w:rsidRPr="004B5D58">
        <w:rPr>
          <w:rFonts w:eastAsia="Calibri"/>
          <w:szCs w:val="22"/>
        </w:rPr>
        <w:t xml:space="preserve"> This is particularly pertinent currently given the Liberty Steel crisis and the limiting of UK steel production, and</w:t>
      </w:r>
      <w:r w:rsidR="00F96DAF">
        <w:rPr>
          <w:rFonts w:eastAsia="Calibri"/>
          <w:szCs w:val="22"/>
        </w:rPr>
        <w:t xml:space="preserve">, post-Brexit, </w:t>
      </w:r>
      <w:r w:rsidRPr="004B5D58">
        <w:rPr>
          <w:rFonts w:eastAsia="Calibri"/>
          <w:szCs w:val="22"/>
        </w:rPr>
        <w:t xml:space="preserve">EU producers being unwilling to export some grades to the UK. Downstream </w:t>
      </w:r>
      <w:r w:rsidRPr="004B5D58">
        <w:rPr>
          <w:rFonts w:eastAsia="Calibri"/>
          <w:b/>
          <w:bCs/>
          <w:szCs w:val="22"/>
        </w:rPr>
        <w:t>steel companies have no choice but to import some of these goods.</w:t>
      </w:r>
    </w:p>
    <w:p w14:paraId="5257A5FD"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Metallic coated sheets (Product number 4)</w:t>
      </w:r>
    </w:p>
    <w:p w14:paraId="0787B3A1"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Welded tubes (25)</w:t>
      </w:r>
    </w:p>
    <w:p w14:paraId="7C02DD5C"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Hot and cold-rolled sheet &amp; strip, including alloy (1 and 2)</w:t>
      </w:r>
    </w:p>
    <w:p w14:paraId="14F30344"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Wire rod (alloy and non-allow) (16)</w:t>
      </w:r>
    </w:p>
    <w:p w14:paraId="49D11075"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Angles, shapes and sections of iron or non-alloy steel (17)</w:t>
      </w:r>
    </w:p>
    <w:p w14:paraId="747140A7" w14:textId="3A653CA6"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Merchant bars and light sections (12)</w:t>
      </w:r>
    </w:p>
    <w:p w14:paraId="58D46DCA" w14:textId="77777777" w:rsidR="0051422F" w:rsidRPr="004B5D58" w:rsidRDefault="0051422F" w:rsidP="0051422F">
      <w:pPr>
        <w:spacing w:after="160" w:line="259" w:lineRule="auto"/>
        <w:ind w:left="1080"/>
        <w:contextualSpacing/>
        <w:rPr>
          <w:rFonts w:eastAsia="Calibri"/>
          <w:sz w:val="12"/>
          <w:szCs w:val="12"/>
        </w:rPr>
      </w:pPr>
    </w:p>
    <w:p w14:paraId="37CA32F1" w14:textId="712637C6" w:rsidR="00E16168" w:rsidRPr="004B5D58" w:rsidRDefault="00E16168" w:rsidP="00E16168">
      <w:pPr>
        <w:spacing w:after="160" w:line="259" w:lineRule="auto"/>
        <w:rPr>
          <w:rFonts w:eastAsia="Calibri"/>
          <w:szCs w:val="22"/>
        </w:rPr>
      </w:pPr>
      <w:r w:rsidRPr="004B5D58">
        <w:rPr>
          <w:rFonts w:eastAsia="Calibri"/>
          <w:szCs w:val="22"/>
        </w:rPr>
        <w:t xml:space="preserve">In some cases within merchant bars and light sections (12), non-alloy and other alloy wire rod (16) and angles, shapes and sections of iron or non-alloy steel (17), the </w:t>
      </w:r>
      <w:r w:rsidRPr="004B5D58">
        <w:rPr>
          <w:rFonts w:eastAsia="Calibri"/>
          <w:b/>
          <w:bCs/>
          <w:szCs w:val="22"/>
        </w:rPr>
        <w:t>TRA</w:t>
      </w:r>
      <w:r w:rsidR="00C57CD6">
        <w:rPr>
          <w:rFonts w:eastAsia="Calibri"/>
          <w:b/>
          <w:bCs/>
          <w:szCs w:val="22"/>
        </w:rPr>
        <w:t>’s initial</w:t>
      </w:r>
      <w:r w:rsidRPr="004B5D58">
        <w:rPr>
          <w:rFonts w:eastAsia="Calibri"/>
          <w:b/>
          <w:bCs/>
          <w:szCs w:val="22"/>
        </w:rPr>
        <w:t xml:space="preserve"> </w:t>
      </w:r>
      <w:r w:rsidRPr="004B5D58">
        <w:rPr>
          <w:rFonts w:eastAsia="Calibri"/>
          <w:b/>
          <w:bCs/>
          <w:szCs w:val="22"/>
        </w:rPr>
        <w:lastRenderedPageBreak/>
        <w:t>report found there to be no UK production of these products.</w:t>
      </w:r>
      <w:r w:rsidRPr="004B5D58">
        <w:rPr>
          <w:rFonts w:eastAsia="Calibri"/>
          <w:b/>
          <w:bCs/>
          <w:szCs w:val="22"/>
          <w:vertAlign w:val="superscript"/>
        </w:rPr>
        <w:footnoteReference w:id="11"/>
      </w:r>
      <w:r w:rsidRPr="004B5D58">
        <w:rPr>
          <w:rFonts w:eastAsia="Calibri"/>
          <w:b/>
          <w:bCs/>
          <w:szCs w:val="22"/>
        </w:rPr>
        <w:t xml:space="preserve"> </w:t>
      </w:r>
      <w:r w:rsidRPr="004B5D58">
        <w:rPr>
          <w:rFonts w:eastAsia="Calibri"/>
          <w:szCs w:val="22"/>
        </w:rPr>
        <w:t xml:space="preserve">While it also confirmed that </w:t>
      </w:r>
      <w:r w:rsidRPr="004B5D58">
        <w:rPr>
          <w:rFonts w:eastAsia="Calibri"/>
          <w:b/>
          <w:bCs/>
          <w:szCs w:val="22"/>
        </w:rPr>
        <w:t>imports of products such as metallic and organic coated sheets (4) and welded tubes (25) have increased by between 50% and 100% in the last 5 years,</w:t>
      </w:r>
      <w:r w:rsidRPr="004B5D58">
        <w:rPr>
          <w:rFonts w:eastAsia="Calibri"/>
          <w:szCs w:val="22"/>
        </w:rPr>
        <w:t xml:space="preserve"> reflecting the increasing demand for steel products in the UK.</w:t>
      </w:r>
      <w:r w:rsidRPr="004B5D58">
        <w:rPr>
          <w:rFonts w:eastAsia="Calibri"/>
          <w:szCs w:val="22"/>
          <w:vertAlign w:val="superscript"/>
        </w:rPr>
        <w:footnoteReference w:id="12"/>
      </w:r>
      <w:r w:rsidRPr="004B5D58">
        <w:rPr>
          <w:rFonts w:eastAsia="Calibri"/>
          <w:szCs w:val="22"/>
        </w:rPr>
        <w:t xml:space="preserve"> </w:t>
      </w:r>
    </w:p>
    <w:p w14:paraId="63110D28" w14:textId="5615E7A6" w:rsidR="00E16168" w:rsidRPr="004B5D58" w:rsidRDefault="00E16168" w:rsidP="00E16168">
      <w:pPr>
        <w:spacing w:after="160" w:line="259" w:lineRule="auto"/>
        <w:rPr>
          <w:rFonts w:eastAsia="Calibri"/>
          <w:szCs w:val="22"/>
        </w:rPr>
      </w:pPr>
      <w:r w:rsidRPr="004B5D58">
        <w:rPr>
          <w:rFonts w:eastAsia="Calibri"/>
          <w:szCs w:val="22"/>
        </w:rPr>
        <w:t xml:space="preserve">Despite the need and demand for importing, exacerbated by the Liberty crisis, steel safeguards remain applied to these goods. This means that UK steel users </w:t>
      </w:r>
      <w:r w:rsidR="00D0078E">
        <w:rPr>
          <w:rFonts w:eastAsia="Calibri"/>
          <w:szCs w:val="22"/>
        </w:rPr>
        <w:t>can face a choice</w:t>
      </w:r>
      <w:r w:rsidRPr="004B5D58">
        <w:rPr>
          <w:rFonts w:eastAsia="Calibri"/>
          <w:b/>
          <w:bCs/>
          <w:szCs w:val="22"/>
        </w:rPr>
        <w:t xml:space="preserve"> between constraining their output or risk </w:t>
      </w:r>
      <w:r w:rsidR="00D0078E">
        <w:rPr>
          <w:rFonts w:eastAsia="Calibri"/>
          <w:b/>
          <w:bCs/>
          <w:szCs w:val="22"/>
        </w:rPr>
        <w:t>paying</w:t>
      </w:r>
      <w:r w:rsidRPr="004B5D58">
        <w:rPr>
          <w:rFonts w:eastAsia="Calibri"/>
          <w:b/>
          <w:bCs/>
          <w:szCs w:val="22"/>
        </w:rPr>
        <w:t xml:space="preserve"> tariffs. </w:t>
      </w:r>
      <w:r w:rsidRPr="004B5D58">
        <w:rPr>
          <w:rFonts w:eastAsia="Calibri"/>
          <w:szCs w:val="22"/>
        </w:rPr>
        <w:t xml:space="preserve">At the very best, these quota-induced tariffs will deeply impact companies that are already financially vulnerable as a result of the coronavirus pandemic. At worst, they </w:t>
      </w:r>
      <w:r w:rsidRPr="004B5D58">
        <w:rPr>
          <w:rFonts w:eastAsia="Calibri"/>
          <w:b/>
          <w:bCs/>
          <w:szCs w:val="22"/>
        </w:rPr>
        <w:t xml:space="preserve">could result in the company having to close, or make major downscaling decisions to survive. </w:t>
      </w:r>
      <w:r w:rsidRPr="004B5D58">
        <w:rPr>
          <w:rFonts w:eastAsia="Calibri"/>
          <w:szCs w:val="22"/>
        </w:rPr>
        <w:t>It is known that quotas are and will reach their limit. For example:</w:t>
      </w:r>
    </w:p>
    <w:p w14:paraId="2032ADEC" w14:textId="7DCDE1C5" w:rsidR="00E16168" w:rsidRPr="00AA559F" w:rsidRDefault="00AA559F" w:rsidP="00E16168">
      <w:pPr>
        <w:numPr>
          <w:ilvl w:val="0"/>
          <w:numId w:val="8"/>
        </w:numPr>
        <w:spacing w:after="160" w:line="259" w:lineRule="auto"/>
        <w:contextualSpacing/>
        <w:rPr>
          <w:rFonts w:eastAsia="Calibri"/>
          <w:color w:val="000000" w:themeColor="text1"/>
          <w:szCs w:val="22"/>
        </w:rPr>
      </w:pPr>
      <w:r w:rsidRPr="00AA559F">
        <w:rPr>
          <w:rFonts w:eastAsia="Calibri"/>
          <w:color w:val="000000" w:themeColor="text1"/>
          <w:szCs w:val="22"/>
        </w:rPr>
        <w:t xml:space="preserve">Last year, </w:t>
      </w:r>
      <w:r w:rsidR="00E16168" w:rsidRPr="00AA559F">
        <w:rPr>
          <w:rFonts w:eastAsia="Calibri"/>
          <w:color w:val="000000" w:themeColor="text1"/>
          <w:szCs w:val="22"/>
        </w:rPr>
        <w:t xml:space="preserve">Quota 058016 </w:t>
      </w:r>
      <w:r w:rsidR="0090271E">
        <w:rPr>
          <w:rFonts w:eastAsia="Calibri"/>
          <w:color w:val="000000" w:themeColor="text1"/>
          <w:szCs w:val="22"/>
        </w:rPr>
        <w:t xml:space="preserve">for </w:t>
      </w:r>
      <w:r w:rsidR="00E16168" w:rsidRPr="00AA559F">
        <w:rPr>
          <w:rFonts w:eastAsia="Calibri"/>
          <w:color w:val="000000" w:themeColor="text1"/>
          <w:szCs w:val="22"/>
        </w:rPr>
        <w:t xml:space="preserve">Category 12 (merchant bars and light sections) from EU </w:t>
      </w:r>
      <w:r w:rsidR="00E16168" w:rsidRPr="00AA559F">
        <w:rPr>
          <w:rFonts w:eastAsia="Calibri"/>
          <w:b/>
          <w:bCs/>
          <w:color w:val="000000" w:themeColor="text1"/>
          <w:szCs w:val="22"/>
        </w:rPr>
        <w:t>exhausted</w:t>
      </w:r>
      <w:r w:rsidR="00E16168" w:rsidRPr="00AA559F">
        <w:rPr>
          <w:rFonts w:eastAsia="Calibri"/>
          <w:color w:val="000000" w:themeColor="text1"/>
          <w:szCs w:val="22"/>
        </w:rPr>
        <w:t xml:space="preserve"> as of 27</w:t>
      </w:r>
      <w:r w:rsidR="00E16168" w:rsidRPr="00AA559F">
        <w:rPr>
          <w:rFonts w:eastAsia="Calibri"/>
          <w:color w:val="000000" w:themeColor="text1"/>
          <w:szCs w:val="22"/>
          <w:vertAlign w:val="superscript"/>
        </w:rPr>
        <w:t>th</w:t>
      </w:r>
      <w:r w:rsidR="00E16168" w:rsidRPr="00AA559F">
        <w:rPr>
          <w:rFonts w:eastAsia="Calibri"/>
          <w:color w:val="000000" w:themeColor="text1"/>
          <w:szCs w:val="22"/>
        </w:rPr>
        <w:t xml:space="preserve"> August</w:t>
      </w:r>
      <w:r w:rsidR="00AC772E" w:rsidRPr="00AA559F">
        <w:rPr>
          <w:rFonts w:eastAsia="Calibri"/>
          <w:color w:val="000000" w:themeColor="text1"/>
          <w:szCs w:val="22"/>
        </w:rPr>
        <w:t xml:space="preserve"> 2021</w:t>
      </w:r>
      <w:r w:rsidR="00E16168" w:rsidRPr="00AA559F">
        <w:rPr>
          <w:rFonts w:eastAsia="Calibri"/>
          <w:color w:val="000000" w:themeColor="text1"/>
          <w:szCs w:val="22"/>
        </w:rPr>
        <w:t xml:space="preserve">, </w:t>
      </w:r>
      <w:r w:rsidR="00E16168" w:rsidRPr="00AA559F">
        <w:rPr>
          <w:rFonts w:eastAsia="Calibri"/>
          <w:b/>
          <w:bCs/>
          <w:i/>
          <w:iCs/>
          <w:color w:val="000000" w:themeColor="text1"/>
          <w:szCs w:val="22"/>
        </w:rPr>
        <w:t>4 weeks prior</w:t>
      </w:r>
      <w:r w:rsidR="00E16168" w:rsidRPr="00AA559F">
        <w:rPr>
          <w:rFonts w:eastAsia="Calibri"/>
          <w:color w:val="000000" w:themeColor="text1"/>
          <w:szCs w:val="22"/>
        </w:rPr>
        <w:t xml:space="preserve"> to the end of the </w:t>
      </w:r>
      <w:r w:rsidR="00FD6A53">
        <w:rPr>
          <w:rFonts w:eastAsia="Calibri"/>
          <w:color w:val="000000" w:themeColor="text1"/>
          <w:szCs w:val="22"/>
        </w:rPr>
        <w:t>Q</w:t>
      </w:r>
      <w:r w:rsidR="00E16168" w:rsidRPr="00AA559F">
        <w:rPr>
          <w:rFonts w:eastAsia="Calibri"/>
          <w:color w:val="000000" w:themeColor="text1"/>
          <w:szCs w:val="22"/>
        </w:rPr>
        <w:t>uarter</w:t>
      </w:r>
      <w:r w:rsidR="00453EAD">
        <w:rPr>
          <w:rFonts w:eastAsia="Calibri"/>
          <w:color w:val="000000" w:themeColor="text1"/>
          <w:szCs w:val="22"/>
        </w:rPr>
        <w:t xml:space="preserve"> 3; with a similar </w:t>
      </w:r>
      <w:r w:rsidR="0012192D">
        <w:rPr>
          <w:rFonts w:eastAsia="Calibri"/>
          <w:color w:val="000000" w:themeColor="text1"/>
          <w:szCs w:val="22"/>
        </w:rPr>
        <w:t xml:space="preserve">result in </w:t>
      </w:r>
      <w:r w:rsidR="00FD6A53">
        <w:rPr>
          <w:rFonts w:eastAsia="Calibri"/>
          <w:color w:val="000000" w:themeColor="text1"/>
          <w:szCs w:val="22"/>
        </w:rPr>
        <w:t>Q</w:t>
      </w:r>
      <w:r w:rsidR="0012192D">
        <w:rPr>
          <w:rFonts w:eastAsia="Calibri"/>
          <w:color w:val="000000" w:themeColor="text1"/>
          <w:szCs w:val="22"/>
        </w:rPr>
        <w:t>uarter 4.</w:t>
      </w:r>
    </w:p>
    <w:p w14:paraId="067662A1" w14:textId="7610BD74" w:rsidR="0051422F" w:rsidRPr="00B043FD" w:rsidRDefault="00E16168" w:rsidP="008A13EC">
      <w:pPr>
        <w:numPr>
          <w:ilvl w:val="0"/>
          <w:numId w:val="8"/>
        </w:numPr>
        <w:spacing w:after="160" w:line="259" w:lineRule="auto"/>
        <w:contextualSpacing/>
        <w:rPr>
          <w:rFonts w:eastAsia="Calibri"/>
          <w:b/>
          <w:bCs/>
          <w:sz w:val="14"/>
          <w:szCs w:val="14"/>
        </w:rPr>
      </w:pPr>
      <w:r w:rsidRPr="00787B30">
        <w:rPr>
          <w:rFonts w:eastAsia="Calibri"/>
          <w:szCs w:val="22"/>
        </w:rPr>
        <w:t>Quota 058088 (Taiwan) and Quota 058007 (Rest of World) for Category 4</w:t>
      </w:r>
      <w:r w:rsidR="007274E4" w:rsidRPr="00787B30">
        <w:rPr>
          <w:rFonts w:eastAsia="Calibri"/>
          <w:szCs w:val="22"/>
        </w:rPr>
        <w:t xml:space="preserve"> </w:t>
      </w:r>
      <w:r w:rsidRPr="00787B30">
        <w:rPr>
          <w:rFonts w:eastAsia="Calibri"/>
          <w:szCs w:val="22"/>
        </w:rPr>
        <w:t xml:space="preserve">(metallic coated </w:t>
      </w:r>
      <w:r w:rsidR="0012192D">
        <w:rPr>
          <w:rFonts w:eastAsia="Calibri"/>
          <w:szCs w:val="22"/>
        </w:rPr>
        <w:t>sheets</w:t>
      </w:r>
      <w:r w:rsidRPr="00787B30">
        <w:rPr>
          <w:rFonts w:eastAsia="Calibri"/>
          <w:szCs w:val="22"/>
        </w:rPr>
        <w:t>) at 9</w:t>
      </w:r>
      <w:r w:rsidR="00787B30" w:rsidRPr="00787B30">
        <w:rPr>
          <w:rFonts w:eastAsia="Calibri"/>
          <w:szCs w:val="22"/>
        </w:rPr>
        <w:t>9.3</w:t>
      </w:r>
      <w:r w:rsidRPr="00787B30">
        <w:rPr>
          <w:rFonts w:eastAsia="Calibri"/>
          <w:szCs w:val="22"/>
        </w:rPr>
        <w:t xml:space="preserve">% and </w:t>
      </w:r>
      <w:r w:rsidR="00787B30" w:rsidRPr="00787B30">
        <w:rPr>
          <w:rFonts w:eastAsia="Calibri"/>
          <w:szCs w:val="22"/>
        </w:rPr>
        <w:t>87.2</w:t>
      </w:r>
      <w:r w:rsidRPr="00787B30">
        <w:rPr>
          <w:rFonts w:eastAsia="Calibri"/>
          <w:szCs w:val="22"/>
        </w:rPr>
        <w:t xml:space="preserve">% taken respectively </w:t>
      </w:r>
      <w:r w:rsidR="00787B30" w:rsidRPr="00787B30">
        <w:rPr>
          <w:rFonts w:eastAsia="Calibri"/>
          <w:szCs w:val="22"/>
        </w:rPr>
        <w:t xml:space="preserve">at the end of Quarter 4. In the Taiwanese case, the </w:t>
      </w:r>
      <w:r w:rsidR="00787B30" w:rsidRPr="00B043FD">
        <w:rPr>
          <w:rFonts w:eastAsia="Calibri"/>
          <w:b/>
          <w:bCs/>
          <w:szCs w:val="22"/>
        </w:rPr>
        <w:t xml:space="preserve">full quotas was taken within the first 15 days of the quota being opened. </w:t>
      </w:r>
    </w:p>
    <w:p w14:paraId="39D62919" w14:textId="77777777" w:rsidR="00787B30" w:rsidRPr="00787B30" w:rsidRDefault="00787B30" w:rsidP="00787B30">
      <w:pPr>
        <w:spacing w:after="160" w:line="259" w:lineRule="auto"/>
        <w:ind w:left="720"/>
        <w:contextualSpacing/>
        <w:rPr>
          <w:rFonts w:eastAsia="Calibri"/>
          <w:sz w:val="14"/>
          <w:szCs w:val="14"/>
        </w:rPr>
      </w:pPr>
    </w:p>
    <w:p w14:paraId="007DC3C5" w14:textId="17AC38F3" w:rsidR="00753D2B" w:rsidRDefault="00534337" w:rsidP="00E16168">
      <w:pPr>
        <w:spacing w:after="160" w:line="259" w:lineRule="auto"/>
        <w:rPr>
          <w:rFonts w:eastAsia="Calibri"/>
          <w:szCs w:val="22"/>
        </w:rPr>
      </w:pPr>
      <w:r>
        <w:rPr>
          <w:rFonts w:eastAsia="Calibri"/>
          <w:szCs w:val="22"/>
        </w:rPr>
        <w:t>Q</w:t>
      </w:r>
      <w:r w:rsidR="00E16168" w:rsidRPr="004B5D58">
        <w:rPr>
          <w:rFonts w:eastAsia="Calibri"/>
          <w:szCs w:val="22"/>
        </w:rPr>
        <w:t>uota</w:t>
      </w:r>
      <w:r w:rsidR="00915BC5">
        <w:rPr>
          <w:rFonts w:eastAsia="Calibri"/>
          <w:szCs w:val="22"/>
        </w:rPr>
        <w:t xml:space="preserve"> exhaustion</w:t>
      </w:r>
      <w:r w:rsidR="00E16168" w:rsidRPr="004B5D58">
        <w:rPr>
          <w:rFonts w:eastAsia="Calibri"/>
          <w:szCs w:val="22"/>
        </w:rPr>
        <w:t xml:space="preserve"> </w:t>
      </w:r>
      <w:r>
        <w:rPr>
          <w:rFonts w:eastAsia="Calibri"/>
          <w:szCs w:val="22"/>
        </w:rPr>
        <w:t>come</w:t>
      </w:r>
      <w:r w:rsidR="00B043FD">
        <w:rPr>
          <w:rFonts w:eastAsia="Calibri"/>
          <w:szCs w:val="22"/>
        </w:rPr>
        <w:t>s</w:t>
      </w:r>
      <w:r w:rsidR="00E16168" w:rsidRPr="004B5D58">
        <w:rPr>
          <w:rFonts w:eastAsia="Calibri"/>
          <w:szCs w:val="22"/>
        </w:rPr>
        <w:t xml:space="preserve"> at a 25% increase in cost, with </w:t>
      </w:r>
      <w:r w:rsidR="00E16168" w:rsidRPr="004B5D58">
        <w:rPr>
          <w:rFonts w:eastAsia="Calibri"/>
          <w:b/>
          <w:bCs/>
          <w:szCs w:val="22"/>
        </w:rPr>
        <w:t>no certainty that quotas will not continue to exhaust in future quarters.</w:t>
      </w:r>
      <w:r w:rsidR="00E16168" w:rsidRPr="004B5D58">
        <w:rPr>
          <w:rFonts w:eastAsia="Calibri"/>
          <w:szCs w:val="22"/>
        </w:rPr>
        <w:t xml:space="preserve"> In fact, it is likely that </w:t>
      </w:r>
      <w:r>
        <w:rPr>
          <w:rFonts w:eastAsia="Calibri"/>
          <w:szCs w:val="22"/>
        </w:rPr>
        <w:t xml:space="preserve">future </w:t>
      </w:r>
      <w:r w:rsidR="00E16168" w:rsidRPr="004B5D58">
        <w:rPr>
          <w:rFonts w:eastAsia="Calibri"/>
          <w:szCs w:val="22"/>
        </w:rPr>
        <w:t>quarter’s quota</w:t>
      </w:r>
      <w:r>
        <w:rPr>
          <w:rFonts w:eastAsia="Calibri"/>
          <w:szCs w:val="22"/>
        </w:rPr>
        <w:t>s</w:t>
      </w:r>
      <w:r w:rsidR="00E16168" w:rsidRPr="004B5D58">
        <w:rPr>
          <w:rFonts w:eastAsia="Calibri"/>
          <w:szCs w:val="22"/>
        </w:rPr>
        <w:t xml:space="preserve"> will exhaust faster given reports that importers are leaving goods uncleared at the border to avoid this quarter’s tariff. This alone will cause delays and congestion at already full ports, increasing costs and project risks. </w:t>
      </w:r>
    </w:p>
    <w:p w14:paraId="6C90A328" w14:textId="34D6E801" w:rsidR="0090271E" w:rsidRDefault="0099554A" w:rsidP="00E16168">
      <w:pPr>
        <w:spacing w:after="160" w:line="259" w:lineRule="auto"/>
        <w:rPr>
          <w:rFonts w:eastAsia="Calibri"/>
          <w:szCs w:val="22"/>
        </w:rPr>
      </w:pPr>
      <w:r>
        <w:rPr>
          <w:rFonts w:eastAsia="Calibri"/>
          <w:szCs w:val="22"/>
        </w:rPr>
        <w:t>A</w:t>
      </w:r>
      <w:r w:rsidR="00E16168" w:rsidRPr="004B5D58">
        <w:rPr>
          <w:rFonts w:eastAsia="Calibri"/>
          <w:szCs w:val="22"/>
        </w:rPr>
        <w:t xml:space="preserve"> continuing of the situation as a whole will make many firms uncompetitive and unviable in their market through higher prices, resulting in lower sales and output, de-investment from those with global owners, and </w:t>
      </w:r>
      <w:r w:rsidR="00E16168" w:rsidRPr="004B5D58">
        <w:rPr>
          <w:rFonts w:eastAsia="Calibri"/>
          <w:b/>
          <w:bCs/>
          <w:szCs w:val="22"/>
        </w:rPr>
        <w:t>ultimately the closure of businesses and the loss of UK manufacturing output and jobs.</w:t>
      </w:r>
      <w:r w:rsidR="00E16168" w:rsidRPr="004B5D58">
        <w:rPr>
          <w:rFonts w:eastAsia="Calibri"/>
          <w:szCs w:val="22"/>
        </w:rPr>
        <w:t xml:space="preserve"> Companies that are able to stay afloat will have to heavily invest in raw material reserves, rather than investing in business growth ventures in, for example, decarbonisation or skills. </w:t>
      </w:r>
    </w:p>
    <w:p w14:paraId="37B9B85C" w14:textId="19E13A10" w:rsidR="006D203C" w:rsidRPr="004B5D58" w:rsidRDefault="0075524E" w:rsidP="00E16168">
      <w:pPr>
        <w:spacing w:after="160" w:line="259" w:lineRule="auto"/>
        <w:rPr>
          <w:rFonts w:eastAsia="Calibri"/>
          <w:szCs w:val="22"/>
        </w:rPr>
      </w:pPr>
      <w:r>
        <w:rPr>
          <w:rFonts w:eastAsia="Calibri"/>
          <w:szCs w:val="22"/>
        </w:rPr>
        <w:t>I</w:t>
      </w:r>
      <w:r w:rsidR="00D60FC2">
        <w:rPr>
          <w:rFonts w:eastAsia="Calibri"/>
          <w:szCs w:val="22"/>
        </w:rPr>
        <w:t>t is our view that the Category 12 case</w:t>
      </w:r>
      <w:r>
        <w:rPr>
          <w:rFonts w:eastAsia="Calibri"/>
          <w:szCs w:val="22"/>
        </w:rPr>
        <w:t xml:space="preserve"> (as per evidence submitted via TF0006)</w:t>
      </w:r>
      <w:r w:rsidR="00D60FC2">
        <w:rPr>
          <w:rFonts w:eastAsia="Calibri"/>
          <w:szCs w:val="22"/>
        </w:rPr>
        <w:t xml:space="preserve"> </w:t>
      </w:r>
      <w:r w:rsidR="00E16168" w:rsidRPr="004B5D58">
        <w:rPr>
          <w:rFonts w:eastAsia="Calibri"/>
          <w:szCs w:val="22"/>
        </w:rPr>
        <w:t>acts as a warning for the impact of future quota exhaustion of other product categories</w:t>
      </w:r>
      <w:r w:rsidR="00D60FC2">
        <w:rPr>
          <w:rFonts w:eastAsia="Calibri"/>
          <w:szCs w:val="22"/>
        </w:rPr>
        <w:t xml:space="preserve">, and a lack of flexibility in the overall system. </w:t>
      </w:r>
    </w:p>
    <w:p w14:paraId="56C2A280" w14:textId="27E9C540" w:rsidR="00B77635" w:rsidRPr="00162E19" w:rsidRDefault="00E16168" w:rsidP="00B77635">
      <w:pPr>
        <w:spacing w:after="160" w:line="259" w:lineRule="auto"/>
        <w:rPr>
          <w:rFonts w:eastAsia="Calibri"/>
          <w:b/>
          <w:bCs/>
          <w:szCs w:val="22"/>
        </w:rPr>
      </w:pPr>
      <w:r w:rsidRPr="004B5D58">
        <w:rPr>
          <w:rFonts w:eastAsia="Calibri"/>
          <w:szCs w:val="22"/>
        </w:rPr>
        <w:t>This includes steel category 4 - metallic coated</w:t>
      </w:r>
      <w:r w:rsidR="00753D2B">
        <w:rPr>
          <w:rFonts w:eastAsia="Calibri"/>
          <w:szCs w:val="22"/>
        </w:rPr>
        <w:t xml:space="preserve"> sheets </w:t>
      </w:r>
      <w:r w:rsidRPr="004B5D58">
        <w:rPr>
          <w:rFonts w:eastAsia="Calibri"/>
          <w:szCs w:val="22"/>
        </w:rPr>
        <w:t xml:space="preserve">– of which’s quotas for Taiwan and the Rest of the World </w:t>
      </w:r>
      <w:r w:rsidR="00524937">
        <w:rPr>
          <w:rFonts w:eastAsia="Calibri"/>
          <w:szCs w:val="22"/>
        </w:rPr>
        <w:t>effectively</w:t>
      </w:r>
      <w:r w:rsidR="007B44DE">
        <w:rPr>
          <w:rFonts w:eastAsia="Calibri"/>
          <w:szCs w:val="22"/>
        </w:rPr>
        <w:t xml:space="preserve"> exhaust</w:t>
      </w:r>
      <w:r w:rsidR="00840E9E">
        <w:rPr>
          <w:rFonts w:eastAsia="Calibri"/>
          <w:szCs w:val="22"/>
        </w:rPr>
        <w:t xml:space="preserve">, reaching levels that are so high that industry won’t risk further orders (to avoid the subsequent tariff). </w:t>
      </w:r>
      <w:r w:rsidR="001C5AB2">
        <w:rPr>
          <w:rFonts w:eastAsia="Calibri"/>
          <w:szCs w:val="22"/>
        </w:rPr>
        <w:t xml:space="preserve">In </w:t>
      </w:r>
      <w:r w:rsidR="00162E19">
        <w:rPr>
          <w:rFonts w:eastAsia="Calibri"/>
          <w:szCs w:val="22"/>
        </w:rPr>
        <w:t>Q</w:t>
      </w:r>
      <w:r w:rsidR="001C5AB2">
        <w:rPr>
          <w:rFonts w:eastAsia="Calibri"/>
          <w:szCs w:val="22"/>
        </w:rPr>
        <w:t xml:space="preserve">uarter 4 2021, the </w:t>
      </w:r>
      <w:proofErr w:type="spellStart"/>
      <w:r w:rsidR="001C5AB2">
        <w:rPr>
          <w:rFonts w:eastAsia="Calibri"/>
          <w:szCs w:val="22"/>
        </w:rPr>
        <w:t>Taiwanse</w:t>
      </w:r>
      <w:proofErr w:type="spellEnd"/>
      <w:r w:rsidR="001C5AB2">
        <w:rPr>
          <w:rFonts w:eastAsia="Calibri"/>
          <w:szCs w:val="22"/>
        </w:rPr>
        <w:t xml:space="preserve"> quota was 99.9% taken, and the rest of the world 87.</w:t>
      </w:r>
      <w:r w:rsidR="000F06E4">
        <w:rPr>
          <w:rFonts w:eastAsia="Calibri"/>
          <w:szCs w:val="22"/>
        </w:rPr>
        <w:t>2%</w:t>
      </w:r>
      <w:r w:rsidR="00B77635" w:rsidRPr="00B77635">
        <w:rPr>
          <w:rFonts w:eastAsia="Calibri"/>
          <w:szCs w:val="22"/>
        </w:rPr>
        <w:t xml:space="preserve">. In the Taiwanese case, the full </w:t>
      </w:r>
      <w:r w:rsidR="00B77635" w:rsidRPr="00162E19">
        <w:rPr>
          <w:rFonts w:eastAsia="Calibri"/>
          <w:b/>
          <w:bCs/>
          <w:szCs w:val="22"/>
        </w:rPr>
        <w:t>quota</w:t>
      </w:r>
      <w:r w:rsidR="00162E19">
        <w:rPr>
          <w:rFonts w:eastAsia="Calibri"/>
          <w:b/>
          <w:bCs/>
          <w:szCs w:val="22"/>
        </w:rPr>
        <w:t xml:space="preserve"> </w:t>
      </w:r>
      <w:r w:rsidR="00B77635" w:rsidRPr="00162E19">
        <w:rPr>
          <w:rFonts w:eastAsia="Calibri"/>
          <w:b/>
          <w:bCs/>
          <w:szCs w:val="22"/>
        </w:rPr>
        <w:t xml:space="preserve">was taken within the first 15 days of the quota being opened. </w:t>
      </w:r>
    </w:p>
    <w:p w14:paraId="0C18D2FF" w14:textId="463D2AC8" w:rsidR="00830179" w:rsidRDefault="00E501E8" w:rsidP="00E16168">
      <w:pPr>
        <w:spacing w:after="160" w:line="259" w:lineRule="auto"/>
        <w:rPr>
          <w:rFonts w:eastAsia="Calibri"/>
          <w:szCs w:val="22"/>
        </w:rPr>
      </w:pPr>
      <w:r>
        <w:rPr>
          <w:rFonts w:eastAsia="Calibri"/>
          <w:szCs w:val="22"/>
        </w:rPr>
        <w:t>These figures are important because they</w:t>
      </w:r>
      <w:r w:rsidR="003A2195">
        <w:rPr>
          <w:rFonts w:eastAsia="Calibri"/>
          <w:szCs w:val="22"/>
        </w:rPr>
        <w:t xml:space="preserve"> begin to</w:t>
      </w:r>
      <w:r>
        <w:rPr>
          <w:rFonts w:eastAsia="Calibri"/>
          <w:szCs w:val="22"/>
        </w:rPr>
        <w:t xml:space="preserve"> illustrate</w:t>
      </w:r>
      <w:r w:rsidR="003A2195">
        <w:rPr>
          <w:rFonts w:eastAsia="Calibri"/>
          <w:szCs w:val="22"/>
        </w:rPr>
        <w:t xml:space="preserve"> the impact of inflexible, unbalanced quota levels across different countries. </w:t>
      </w:r>
      <w:r>
        <w:rPr>
          <w:rFonts w:eastAsia="Calibri"/>
          <w:szCs w:val="22"/>
        </w:rPr>
        <w:t>M</w:t>
      </w:r>
      <w:r w:rsidR="00E16168" w:rsidRPr="004B5D58">
        <w:rPr>
          <w:rFonts w:eastAsia="Calibri"/>
          <w:szCs w:val="22"/>
        </w:rPr>
        <w:t>uch of the quota for this product is through the EU (</w:t>
      </w:r>
      <w:r w:rsidR="00880549">
        <w:rPr>
          <w:rFonts w:eastAsia="Calibri"/>
          <w:szCs w:val="22"/>
        </w:rPr>
        <w:t>65</w:t>
      </w:r>
      <w:r w:rsidR="00E16168" w:rsidRPr="004B5D58">
        <w:rPr>
          <w:rFonts w:eastAsia="Calibri"/>
          <w:szCs w:val="22"/>
        </w:rPr>
        <w:t xml:space="preserve">%) and yet industry is reporting that </w:t>
      </w:r>
      <w:r w:rsidR="00E16168" w:rsidRPr="004B5D58">
        <w:rPr>
          <w:rFonts w:eastAsia="Calibri"/>
          <w:b/>
          <w:bCs/>
          <w:szCs w:val="22"/>
        </w:rPr>
        <w:t xml:space="preserve">European firms will </w:t>
      </w:r>
      <w:r w:rsidR="00830179">
        <w:rPr>
          <w:rFonts w:eastAsia="Calibri"/>
          <w:b/>
          <w:bCs/>
          <w:szCs w:val="22"/>
        </w:rPr>
        <w:t xml:space="preserve">currently </w:t>
      </w:r>
      <w:r w:rsidR="00E16168" w:rsidRPr="004B5D58">
        <w:rPr>
          <w:rFonts w:eastAsia="Calibri"/>
          <w:b/>
          <w:bCs/>
          <w:szCs w:val="22"/>
        </w:rPr>
        <w:t>not sell to the UK, or only at a hugely inflated price</w:t>
      </w:r>
      <w:r w:rsidR="00E16168" w:rsidRPr="004B5D58">
        <w:rPr>
          <w:rFonts w:eastAsia="Calibri"/>
          <w:szCs w:val="22"/>
        </w:rPr>
        <w:t xml:space="preserve">, due to EU Exit implications and output </w:t>
      </w:r>
      <w:r w:rsidR="00E16168" w:rsidRPr="004B5D58">
        <w:rPr>
          <w:rFonts w:eastAsia="Calibri"/>
          <w:szCs w:val="22"/>
        </w:rPr>
        <w:lastRenderedPageBreak/>
        <w:t>constraints</w:t>
      </w:r>
      <w:r w:rsidR="00854565">
        <w:rPr>
          <w:rFonts w:eastAsia="Calibri"/>
          <w:szCs w:val="22"/>
        </w:rPr>
        <w:t xml:space="preserve">. </w:t>
      </w:r>
      <w:r w:rsidR="000A6324">
        <w:rPr>
          <w:rFonts w:eastAsia="Calibri"/>
          <w:szCs w:val="22"/>
        </w:rPr>
        <w:t xml:space="preserve">This is clear in Table </w:t>
      </w:r>
      <w:r w:rsidR="00815BDB">
        <w:rPr>
          <w:rFonts w:eastAsia="Calibri"/>
          <w:szCs w:val="22"/>
        </w:rPr>
        <w:t>2</w:t>
      </w:r>
      <w:r w:rsidR="000A6324">
        <w:rPr>
          <w:rFonts w:eastAsia="Calibri"/>
          <w:szCs w:val="22"/>
        </w:rPr>
        <w:t xml:space="preserve"> below, which sh</w:t>
      </w:r>
      <w:r w:rsidR="00ED4355">
        <w:rPr>
          <w:rFonts w:eastAsia="Calibri"/>
          <w:szCs w:val="22"/>
        </w:rPr>
        <w:t xml:space="preserve">ows the </w:t>
      </w:r>
      <w:r w:rsidR="00523A20">
        <w:rPr>
          <w:rFonts w:eastAsia="Calibri"/>
          <w:szCs w:val="22"/>
        </w:rPr>
        <w:t>category</w:t>
      </w:r>
      <w:r w:rsidR="009A28C0">
        <w:rPr>
          <w:rFonts w:eastAsia="Calibri"/>
          <w:szCs w:val="22"/>
        </w:rPr>
        <w:t xml:space="preserve"> 4 quota levels and balances at the end of </w:t>
      </w:r>
      <w:r w:rsidR="00854565">
        <w:rPr>
          <w:rFonts w:eastAsia="Calibri"/>
          <w:szCs w:val="22"/>
        </w:rPr>
        <w:t>Q</w:t>
      </w:r>
      <w:r w:rsidR="009A28C0">
        <w:rPr>
          <w:rFonts w:eastAsia="Calibri"/>
          <w:szCs w:val="22"/>
        </w:rPr>
        <w:t>uarter 4 2021. It finds that:</w:t>
      </w:r>
    </w:p>
    <w:p w14:paraId="52B92D7E" w14:textId="7B93FEC4" w:rsidR="00123598" w:rsidRDefault="00ED4355" w:rsidP="00123598">
      <w:pPr>
        <w:pStyle w:val="ListParagraph"/>
        <w:numPr>
          <w:ilvl w:val="0"/>
          <w:numId w:val="17"/>
        </w:numPr>
        <w:spacing w:after="160" w:line="259" w:lineRule="auto"/>
        <w:rPr>
          <w:rFonts w:ascii="Arial" w:eastAsia="Calibri" w:hAnsi="Arial" w:cs="Arial"/>
        </w:rPr>
      </w:pPr>
      <w:r w:rsidRPr="009A28C0">
        <w:rPr>
          <w:rFonts w:ascii="Arial" w:eastAsia="Calibri" w:hAnsi="Arial" w:cs="Arial"/>
        </w:rPr>
        <w:t xml:space="preserve">Of the 300,000 tonne quota </w:t>
      </w:r>
      <w:r w:rsidR="00523A20">
        <w:rPr>
          <w:rFonts w:ascii="Arial" w:eastAsia="Calibri" w:hAnsi="Arial" w:cs="Arial"/>
        </w:rPr>
        <w:t>allocated to EU imports,</w:t>
      </w:r>
      <w:r w:rsidR="004A0C70">
        <w:rPr>
          <w:rFonts w:ascii="Arial" w:eastAsia="Calibri" w:hAnsi="Arial" w:cs="Arial"/>
        </w:rPr>
        <w:t xml:space="preserve"> 341,000 tonnes were in balance at the end of </w:t>
      </w:r>
      <w:r w:rsidR="00854565">
        <w:rPr>
          <w:rFonts w:ascii="Arial" w:eastAsia="Calibri" w:hAnsi="Arial" w:cs="Arial"/>
        </w:rPr>
        <w:t>Q</w:t>
      </w:r>
      <w:r w:rsidR="004A0C70">
        <w:rPr>
          <w:rFonts w:ascii="Arial" w:eastAsia="Calibri" w:hAnsi="Arial" w:cs="Arial"/>
        </w:rPr>
        <w:t>uarter 4. Thi</w:t>
      </w:r>
      <w:r w:rsidR="00AC4307">
        <w:rPr>
          <w:rFonts w:ascii="Arial" w:eastAsia="Calibri" w:hAnsi="Arial" w:cs="Arial"/>
        </w:rPr>
        <w:t xml:space="preserve">s </w:t>
      </w:r>
      <w:r w:rsidR="00AC4307" w:rsidRPr="003E3FAC">
        <w:rPr>
          <w:rFonts w:ascii="Arial" w:eastAsia="Calibri" w:hAnsi="Arial" w:cs="Arial"/>
          <w:b/>
          <w:bCs/>
        </w:rPr>
        <w:t xml:space="preserve">means that importing activity of Category </w:t>
      </w:r>
      <w:r w:rsidR="00D83098" w:rsidRPr="003E3FAC">
        <w:rPr>
          <w:rFonts w:ascii="Arial" w:eastAsia="Calibri" w:hAnsi="Arial" w:cs="Arial"/>
          <w:b/>
          <w:bCs/>
        </w:rPr>
        <w:t xml:space="preserve">4 </w:t>
      </w:r>
      <w:r w:rsidR="00AC4307" w:rsidRPr="003E3FAC">
        <w:rPr>
          <w:rFonts w:ascii="Arial" w:eastAsia="Calibri" w:hAnsi="Arial" w:cs="Arial"/>
          <w:b/>
          <w:bCs/>
        </w:rPr>
        <w:t xml:space="preserve">from the EU was so low that the overall balance has </w:t>
      </w:r>
      <w:r w:rsidR="00123598" w:rsidRPr="003E3FAC">
        <w:rPr>
          <w:rFonts w:ascii="Arial" w:eastAsia="Calibri" w:hAnsi="Arial" w:cs="Arial"/>
          <w:b/>
          <w:bCs/>
        </w:rPr>
        <w:t xml:space="preserve">actually </w:t>
      </w:r>
      <w:r w:rsidR="00AC4307" w:rsidRPr="003E3FAC">
        <w:rPr>
          <w:rFonts w:ascii="Arial" w:eastAsia="Calibri" w:hAnsi="Arial" w:cs="Arial"/>
          <w:b/>
          <w:bCs/>
        </w:rPr>
        <w:t>increased</w:t>
      </w:r>
      <w:r w:rsidR="00AC4307">
        <w:rPr>
          <w:rFonts w:ascii="Arial" w:eastAsia="Calibri" w:hAnsi="Arial" w:cs="Arial"/>
        </w:rPr>
        <w:t>.</w:t>
      </w:r>
      <w:r w:rsidR="00207F18">
        <w:rPr>
          <w:rFonts w:ascii="Arial" w:eastAsia="Calibri" w:hAnsi="Arial" w:cs="Arial"/>
        </w:rPr>
        <w:t xml:space="preserve"> Feedback from industry suggests this is a result of EU firms not exporting to the UK because of complicated post-EU Exit documentation requirements. </w:t>
      </w:r>
    </w:p>
    <w:p w14:paraId="6B6F18ED" w14:textId="0D69BCE0" w:rsidR="00123598" w:rsidRDefault="00123598" w:rsidP="00123598">
      <w:pPr>
        <w:pStyle w:val="ListParagraph"/>
        <w:numPr>
          <w:ilvl w:val="0"/>
          <w:numId w:val="17"/>
        </w:numPr>
        <w:spacing w:after="160" w:line="259" w:lineRule="auto"/>
        <w:rPr>
          <w:rFonts w:ascii="Arial" w:eastAsia="Calibri" w:hAnsi="Arial" w:cs="Arial"/>
        </w:rPr>
      </w:pPr>
      <w:r>
        <w:rPr>
          <w:rFonts w:ascii="Arial" w:eastAsia="Calibri" w:hAnsi="Arial" w:cs="Arial"/>
        </w:rPr>
        <w:t>Due to different reasons, the quota balances for China and South Korea have also increased. In the Chin</w:t>
      </w:r>
      <w:r w:rsidR="00C359C1">
        <w:rPr>
          <w:rFonts w:ascii="Arial" w:eastAsia="Calibri" w:hAnsi="Arial" w:cs="Arial"/>
        </w:rPr>
        <w:t>ese</w:t>
      </w:r>
      <w:r>
        <w:rPr>
          <w:rFonts w:ascii="Arial" w:eastAsia="Calibri" w:hAnsi="Arial" w:cs="Arial"/>
        </w:rPr>
        <w:t xml:space="preserve"> case, ant</w:t>
      </w:r>
      <w:r w:rsidR="00C359C1">
        <w:rPr>
          <w:rFonts w:ascii="Arial" w:eastAsia="Calibri" w:hAnsi="Arial" w:cs="Arial"/>
        </w:rPr>
        <w:t>i</w:t>
      </w:r>
      <w:r>
        <w:rPr>
          <w:rFonts w:ascii="Arial" w:eastAsia="Calibri" w:hAnsi="Arial" w:cs="Arial"/>
        </w:rPr>
        <w:t>-dumping measures</w:t>
      </w:r>
      <w:r w:rsidR="00C359C1">
        <w:rPr>
          <w:rFonts w:ascii="Arial" w:eastAsia="Calibri" w:hAnsi="Arial" w:cs="Arial"/>
        </w:rPr>
        <w:t xml:space="preserve"> make import unattractive to UK industry.</w:t>
      </w:r>
    </w:p>
    <w:p w14:paraId="34C2F291" w14:textId="77777777" w:rsidR="0057579B" w:rsidRPr="00D13AB2" w:rsidRDefault="0057579B" w:rsidP="0057579B">
      <w:pPr>
        <w:pStyle w:val="ListParagraph"/>
        <w:numPr>
          <w:ilvl w:val="0"/>
          <w:numId w:val="17"/>
        </w:numPr>
        <w:spacing w:after="160" w:line="259" w:lineRule="auto"/>
        <w:rPr>
          <w:rFonts w:ascii="Arial" w:eastAsia="Calibri" w:hAnsi="Arial" w:cs="Arial"/>
        </w:rPr>
      </w:pPr>
      <w:r>
        <w:rPr>
          <w:rFonts w:ascii="Arial" w:eastAsia="Calibri" w:hAnsi="Arial" w:cs="Arial"/>
        </w:rPr>
        <w:t xml:space="preserve">Access to category 4 steel from UK mills is possible, but not at the volume required by wider UK industry. </w:t>
      </w:r>
    </w:p>
    <w:p w14:paraId="10840AD3" w14:textId="361B1953" w:rsidR="00854565" w:rsidRPr="00BE5A30" w:rsidRDefault="00E16168" w:rsidP="00BE5A30">
      <w:pPr>
        <w:pStyle w:val="ListParagraph"/>
        <w:numPr>
          <w:ilvl w:val="0"/>
          <w:numId w:val="17"/>
        </w:numPr>
        <w:spacing w:after="160" w:line="259" w:lineRule="auto"/>
        <w:rPr>
          <w:rFonts w:ascii="Arial" w:eastAsia="Calibri" w:hAnsi="Arial" w:cs="Arial"/>
        </w:rPr>
      </w:pPr>
      <w:r w:rsidRPr="00D13AB2">
        <w:rPr>
          <w:rFonts w:ascii="Arial" w:eastAsia="Calibri" w:hAnsi="Arial" w:cs="Arial"/>
        </w:rPr>
        <w:t xml:space="preserve">UK companies are therefore </w:t>
      </w:r>
      <w:r w:rsidRPr="004232FF">
        <w:rPr>
          <w:rFonts w:ascii="Arial" w:eastAsia="Calibri" w:hAnsi="Arial" w:cs="Arial"/>
          <w:b/>
          <w:bCs/>
        </w:rPr>
        <w:t xml:space="preserve">limited to importing category 4 from </w:t>
      </w:r>
      <w:r w:rsidR="00D13AB2" w:rsidRPr="004232FF">
        <w:rPr>
          <w:rFonts w:ascii="Arial" w:eastAsia="Calibri" w:hAnsi="Arial" w:cs="Arial"/>
          <w:b/>
          <w:bCs/>
        </w:rPr>
        <w:t>elsewhere (Taiwan</w:t>
      </w:r>
      <w:r w:rsidRPr="004232FF">
        <w:rPr>
          <w:rFonts w:ascii="Arial" w:eastAsia="Calibri" w:hAnsi="Arial" w:cs="Arial"/>
          <w:b/>
          <w:bCs/>
        </w:rPr>
        <w:t>,</w:t>
      </w:r>
      <w:r w:rsidR="00D13AB2" w:rsidRPr="004232FF">
        <w:rPr>
          <w:rFonts w:ascii="Arial" w:eastAsia="Calibri" w:hAnsi="Arial" w:cs="Arial"/>
          <w:b/>
          <w:bCs/>
        </w:rPr>
        <w:t xml:space="preserve"> Rest of the World for example),</w:t>
      </w:r>
      <w:r w:rsidRPr="00D13AB2">
        <w:rPr>
          <w:rFonts w:ascii="Arial" w:eastAsia="Calibri" w:hAnsi="Arial" w:cs="Arial"/>
        </w:rPr>
        <w:t xml:space="preserve"> but imminent quota exhaustion</w:t>
      </w:r>
      <w:r w:rsidR="00703161">
        <w:rPr>
          <w:rFonts w:ascii="Arial" w:eastAsia="Calibri" w:hAnsi="Arial" w:cs="Arial"/>
        </w:rPr>
        <w:t xml:space="preserve"> for these places </w:t>
      </w:r>
      <w:r w:rsidRPr="00D13AB2">
        <w:rPr>
          <w:rFonts w:ascii="Arial" w:eastAsia="Calibri" w:hAnsi="Arial" w:cs="Arial"/>
        </w:rPr>
        <w:t xml:space="preserve">limits flexibility and certainty on the price and viability of importing the product. </w:t>
      </w:r>
    </w:p>
    <w:p w14:paraId="1D32D0B1" w14:textId="17DE6AFC" w:rsidR="00815BDB" w:rsidRDefault="00815BDB" w:rsidP="00815BDB">
      <w:pPr>
        <w:spacing w:after="160" w:line="259" w:lineRule="auto"/>
        <w:rPr>
          <w:rFonts w:eastAsia="Calibri"/>
        </w:rPr>
      </w:pPr>
      <w:r w:rsidRPr="00533DC5">
        <w:rPr>
          <w:rFonts w:eastAsia="Calibri"/>
          <w:b/>
          <w:bCs/>
          <w:szCs w:val="22"/>
        </w:rPr>
        <w:t>Table</w:t>
      </w:r>
      <w:r>
        <w:rPr>
          <w:rFonts w:eastAsia="Calibri"/>
          <w:b/>
          <w:bCs/>
          <w:szCs w:val="22"/>
        </w:rPr>
        <w:t xml:space="preserve"> </w:t>
      </w:r>
      <w:r w:rsidR="0036123C">
        <w:rPr>
          <w:rFonts w:eastAsia="Calibri"/>
          <w:b/>
          <w:bCs/>
          <w:szCs w:val="22"/>
        </w:rPr>
        <w:t>2</w:t>
      </w:r>
      <w:r>
        <w:rPr>
          <w:rFonts w:eastAsia="Calibri"/>
          <w:b/>
          <w:bCs/>
          <w:szCs w:val="22"/>
        </w:rPr>
        <w:t xml:space="preserve">: </w:t>
      </w:r>
      <w:r w:rsidR="00B461B6">
        <w:rPr>
          <w:rFonts w:eastAsia="Calibri"/>
          <w:b/>
          <w:bCs/>
          <w:szCs w:val="22"/>
        </w:rPr>
        <w:t>Category 4 (Metallic Coated Steel</w:t>
      </w:r>
      <w:r w:rsidR="004232FF">
        <w:rPr>
          <w:rFonts w:eastAsia="Calibri"/>
          <w:b/>
          <w:bCs/>
          <w:szCs w:val="22"/>
        </w:rPr>
        <w:t>)</w:t>
      </w:r>
      <w:r w:rsidR="00B461B6">
        <w:rPr>
          <w:rFonts w:eastAsia="Calibri"/>
          <w:b/>
          <w:bCs/>
          <w:szCs w:val="22"/>
        </w:rPr>
        <w:t xml:space="preserve"> – </w:t>
      </w:r>
      <w:r w:rsidR="000A3C6E">
        <w:rPr>
          <w:rFonts w:eastAsia="Calibri"/>
          <w:b/>
          <w:bCs/>
          <w:szCs w:val="22"/>
        </w:rPr>
        <w:t xml:space="preserve">Q4 </w:t>
      </w:r>
      <w:r w:rsidR="00B461B6">
        <w:rPr>
          <w:rFonts w:eastAsia="Calibri"/>
          <w:b/>
          <w:bCs/>
          <w:szCs w:val="22"/>
        </w:rPr>
        <w:t>Import Quotas as of December 2021</w:t>
      </w:r>
    </w:p>
    <w:tbl>
      <w:tblPr>
        <w:tblStyle w:val="TableGrid"/>
        <w:tblW w:w="9859" w:type="dxa"/>
        <w:tblInd w:w="-421" w:type="dxa"/>
        <w:tblLook w:val="04A0" w:firstRow="1" w:lastRow="0" w:firstColumn="1" w:lastColumn="0" w:noHBand="0" w:noVBand="1"/>
      </w:tblPr>
      <w:tblGrid>
        <w:gridCol w:w="2689"/>
        <w:gridCol w:w="1417"/>
        <w:gridCol w:w="2268"/>
        <w:gridCol w:w="1985"/>
        <w:gridCol w:w="1500"/>
      </w:tblGrid>
      <w:tr w:rsidR="0036123C" w:rsidRPr="00CB6EDA" w14:paraId="23F915DF" w14:textId="77777777" w:rsidTr="0036123C">
        <w:trPr>
          <w:trHeight w:val="334"/>
        </w:trPr>
        <w:tc>
          <w:tcPr>
            <w:tcW w:w="2689" w:type="dxa"/>
            <w:shd w:val="clear" w:color="auto" w:fill="9CC2E5" w:themeFill="accent1" w:themeFillTint="99"/>
            <w:noWrap/>
            <w:vAlign w:val="center"/>
            <w:hideMark/>
          </w:tcPr>
          <w:p w14:paraId="25926B3C" w14:textId="6B9518A9" w:rsidR="00815BDB" w:rsidRPr="00FE2145" w:rsidRDefault="00B461B6" w:rsidP="0036123C">
            <w:pPr>
              <w:spacing w:after="160" w:line="259" w:lineRule="auto"/>
              <w:rPr>
                <w:b/>
                <w:bCs/>
                <w:i/>
                <w:iCs/>
                <w:szCs w:val="22"/>
              </w:rPr>
            </w:pPr>
            <w:r>
              <w:rPr>
                <w:b/>
                <w:bCs/>
                <w:i/>
                <w:iCs/>
                <w:szCs w:val="22"/>
              </w:rPr>
              <w:t>Country Origin</w:t>
            </w:r>
          </w:p>
        </w:tc>
        <w:tc>
          <w:tcPr>
            <w:tcW w:w="1417" w:type="dxa"/>
            <w:shd w:val="clear" w:color="auto" w:fill="9CC2E5" w:themeFill="accent1" w:themeFillTint="99"/>
            <w:vAlign w:val="center"/>
            <w:hideMark/>
          </w:tcPr>
          <w:p w14:paraId="7D289B35" w14:textId="5121A2FB" w:rsidR="00815BDB" w:rsidRPr="00FE2145" w:rsidRDefault="00B461B6" w:rsidP="0036123C">
            <w:pPr>
              <w:spacing w:after="160" w:line="259" w:lineRule="auto"/>
              <w:jc w:val="center"/>
              <w:rPr>
                <w:b/>
                <w:bCs/>
                <w:szCs w:val="22"/>
              </w:rPr>
            </w:pPr>
            <w:r>
              <w:rPr>
                <w:b/>
                <w:bCs/>
                <w:szCs w:val="22"/>
              </w:rPr>
              <w:t>Order No.</w:t>
            </w:r>
          </w:p>
        </w:tc>
        <w:tc>
          <w:tcPr>
            <w:tcW w:w="2268" w:type="dxa"/>
            <w:shd w:val="clear" w:color="auto" w:fill="9CC2E5" w:themeFill="accent1" w:themeFillTint="99"/>
            <w:noWrap/>
            <w:vAlign w:val="center"/>
            <w:hideMark/>
          </w:tcPr>
          <w:p w14:paraId="19D74C39" w14:textId="37705A50" w:rsidR="00815BDB" w:rsidRPr="00FE2145" w:rsidRDefault="00B461B6" w:rsidP="0036123C">
            <w:pPr>
              <w:spacing w:after="160" w:line="259" w:lineRule="auto"/>
              <w:jc w:val="center"/>
              <w:rPr>
                <w:b/>
                <w:bCs/>
                <w:szCs w:val="22"/>
              </w:rPr>
            </w:pPr>
            <w:r>
              <w:rPr>
                <w:b/>
                <w:bCs/>
                <w:szCs w:val="22"/>
              </w:rPr>
              <w:t>Quota (tonnes)</w:t>
            </w:r>
          </w:p>
        </w:tc>
        <w:tc>
          <w:tcPr>
            <w:tcW w:w="1985" w:type="dxa"/>
            <w:shd w:val="clear" w:color="auto" w:fill="9CC2E5" w:themeFill="accent1" w:themeFillTint="99"/>
            <w:noWrap/>
            <w:vAlign w:val="center"/>
            <w:hideMark/>
          </w:tcPr>
          <w:p w14:paraId="7393E5DE" w14:textId="3D4039DA" w:rsidR="00815BDB" w:rsidRPr="00FE2145" w:rsidRDefault="00B461B6" w:rsidP="0036123C">
            <w:pPr>
              <w:spacing w:after="160" w:line="259" w:lineRule="auto"/>
              <w:jc w:val="center"/>
              <w:rPr>
                <w:b/>
                <w:bCs/>
                <w:szCs w:val="22"/>
              </w:rPr>
            </w:pPr>
            <w:r>
              <w:rPr>
                <w:b/>
                <w:bCs/>
                <w:szCs w:val="22"/>
              </w:rPr>
              <w:t>Balance (tonnes)</w:t>
            </w:r>
          </w:p>
        </w:tc>
        <w:tc>
          <w:tcPr>
            <w:tcW w:w="1500" w:type="dxa"/>
            <w:shd w:val="clear" w:color="auto" w:fill="9CC2E5" w:themeFill="accent1" w:themeFillTint="99"/>
            <w:noWrap/>
            <w:vAlign w:val="center"/>
            <w:hideMark/>
          </w:tcPr>
          <w:p w14:paraId="0BE67A93" w14:textId="5F34FD27" w:rsidR="00815BDB" w:rsidRPr="00FE2145" w:rsidRDefault="00B461B6" w:rsidP="0036123C">
            <w:pPr>
              <w:spacing w:after="160" w:line="259" w:lineRule="auto"/>
              <w:jc w:val="center"/>
              <w:rPr>
                <w:b/>
                <w:bCs/>
                <w:szCs w:val="22"/>
              </w:rPr>
            </w:pPr>
            <w:r>
              <w:rPr>
                <w:b/>
                <w:bCs/>
                <w:szCs w:val="22"/>
              </w:rPr>
              <w:t>Progress</w:t>
            </w:r>
            <w:r w:rsidR="00CA70CF">
              <w:rPr>
                <w:b/>
                <w:bCs/>
                <w:szCs w:val="22"/>
              </w:rPr>
              <w:t xml:space="preserve"> (Dec 2021)</w:t>
            </w:r>
          </w:p>
        </w:tc>
      </w:tr>
      <w:tr w:rsidR="0036123C" w:rsidRPr="00CB6EDA" w14:paraId="383B2CE7" w14:textId="77777777" w:rsidTr="0036123C">
        <w:trPr>
          <w:trHeight w:val="83"/>
        </w:trPr>
        <w:tc>
          <w:tcPr>
            <w:tcW w:w="2689" w:type="dxa"/>
            <w:noWrap/>
            <w:hideMark/>
          </w:tcPr>
          <w:p w14:paraId="25C8D5E5" w14:textId="63DDAE36" w:rsidR="0036123C" w:rsidRPr="00CB6EDA" w:rsidRDefault="0036123C" w:rsidP="0036123C">
            <w:pPr>
              <w:spacing w:after="160" w:line="259" w:lineRule="auto"/>
              <w:rPr>
                <w:szCs w:val="22"/>
              </w:rPr>
            </w:pPr>
            <w:r w:rsidRPr="005F3697">
              <w:t>EU</w:t>
            </w:r>
          </w:p>
        </w:tc>
        <w:tc>
          <w:tcPr>
            <w:tcW w:w="1417" w:type="dxa"/>
            <w:noWrap/>
            <w:hideMark/>
          </w:tcPr>
          <w:p w14:paraId="24C2696A" w14:textId="6C0C18A5" w:rsidR="0036123C" w:rsidRPr="00CB6EDA" w:rsidRDefault="0036123C" w:rsidP="0036123C">
            <w:pPr>
              <w:spacing w:after="160" w:line="259" w:lineRule="auto"/>
              <w:jc w:val="center"/>
              <w:rPr>
                <w:szCs w:val="22"/>
              </w:rPr>
            </w:pPr>
            <w:r w:rsidRPr="00454BB1">
              <w:t>058006</w:t>
            </w:r>
          </w:p>
        </w:tc>
        <w:tc>
          <w:tcPr>
            <w:tcW w:w="2268" w:type="dxa"/>
            <w:noWrap/>
            <w:vAlign w:val="center"/>
            <w:hideMark/>
          </w:tcPr>
          <w:p w14:paraId="5152DC53" w14:textId="15568F0D" w:rsidR="0036123C" w:rsidRPr="00CB6EDA" w:rsidRDefault="0036123C" w:rsidP="0036123C">
            <w:pPr>
              <w:spacing w:after="160" w:line="259" w:lineRule="auto"/>
              <w:jc w:val="center"/>
              <w:rPr>
                <w:szCs w:val="22"/>
              </w:rPr>
            </w:pPr>
            <w:r>
              <w:rPr>
                <w:szCs w:val="22"/>
              </w:rPr>
              <w:t>302,951</w:t>
            </w:r>
          </w:p>
        </w:tc>
        <w:tc>
          <w:tcPr>
            <w:tcW w:w="1985" w:type="dxa"/>
            <w:noWrap/>
            <w:vAlign w:val="center"/>
            <w:hideMark/>
          </w:tcPr>
          <w:p w14:paraId="72DB4DAA" w14:textId="4DA08985" w:rsidR="0036123C" w:rsidRPr="00CB6EDA" w:rsidRDefault="0036123C" w:rsidP="0036123C">
            <w:pPr>
              <w:spacing w:after="160" w:line="259" w:lineRule="auto"/>
              <w:jc w:val="center"/>
              <w:rPr>
                <w:szCs w:val="22"/>
              </w:rPr>
            </w:pPr>
            <w:r>
              <w:rPr>
                <w:szCs w:val="22"/>
              </w:rPr>
              <w:t>341,165</w:t>
            </w:r>
          </w:p>
        </w:tc>
        <w:tc>
          <w:tcPr>
            <w:tcW w:w="1500" w:type="dxa"/>
            <w:noWrap/>
            <w:vAlign w:val="center"/>
            <w:hideMark/>
          </w:tcPr>
          <w:p w14:paraId="623F7A14" w14:textId="37550424" w:rsidR="0036123C" w:rsidRPr="00CB6EDA" w:rsidRDefault="0036123C" w:rsidP="0036123C">
            <w:pPr>
              <w:spacing w:after="160" w:line="259" w:lineRule="auto"/>
              <w:jc w:val="center"/>
              <w:rPr>
                <w:szCs w:val="22"/>
              </w:rPr>
            </w:pPr>
            <w:r>
              <w:rPr>
                <w:color w:val="000000"/>
                <w:sz w:val="20"/>
                <w:szCs w:val="20"/>
              </w:rPr>
              <w:t>-12.61%</w:t>
            </w:r>
          </w:p>
        </w:tc>
      </w:tr>
      <w:tr w:rsidR="0036123C" w:rsidRPr="00CB6EDA" w14:paraId="2F9931BE" w14:textId="77777777" w:rsidTr="0036123C">
        <w:trPr>
          <w:trHeight w:val="83"/>
        </w:trPr>
        <w:tc>
          <w:tcPr>
            <w:tcW w:w="2689" w:type="dxa"/>
            <w:noWrap/>
            <w:hideMark/>
          </w:tcPr>
          <w:p w14:paraId="51367960" w14:textId="74C9853B" w:rsidR="0036123C" w:rsidRPr="00CB6EDA" w:rsidRDefault="0036123C" w:rsidP="0036123C">
            <w:pPr>
              <w:spacing w:after="160" w:line="259" w:lineRule="auto"/>
              <w:rPr>
                <w:szCs w:val="22"/>
              </w:rPr>
            </w:pPr>
            <w:r w:rsidRPr="005F3697">
              <w:t>China</w:t>
            </w:r>
          </w:p>
        </w:tc>
        <w:tc>
          <w:tcPr>
            <w:tcW w:w="1417" w:type="dxa"/>
            <w:noWrap/>
            <w:hideMark/>
          </w:tcPr>
          <w:p w14:paraId="31DB4173" w14:textId="3B777453" w:rsidR="0036123C" w:rsidRPr="00CB6EDA" w:rsidRDefault="0036123C" w:rsidP="0036123C">
            <w:pPr>
              <w:spacing w:after="160" w:line="259" w:lineRule="auto"/>
              <w:jc w:val="center"/>
              <w:rPr>
                <w:szCs w:val="22"/>
              </w:rPr>
            </w:pPr>
            <w:r w:rsidRPr="00454BB1">
              <w:t>058087</w:t>
            </w:r>
          </w:p>
        </w:tc>
        <w:tc>
          <w:tcPr>
            <w:tcW w:w="2268" w:type="dxa"/>
            <w:noWrap/>
            <w:vAlign w:val="center"/>
            <w:hideMark/>
          </w:tcPr>
          <w:p w14:paraId="436AAFFE" w14:textId="0472E348" w:rsidR="0036123C" w:rsidRPr="00CB6EDA" w:rsidRDefault="0036123C" w:rsidP="0036123C">
            <w:pPr>
              <w:spacing w:after="160" w:line="259" w:lineRule="auto"/>
              <w:jc w:val="center"/>
              <w:rPr>
                <w:szCs w:val="22"/>
              </w:rPr>
            </w:pPr>
            <w:r>
              <w:rPr>
                <w:szCs w:val="22"/>
              </w:rPr>
              <w:t>31,933</w:t>
            </w:r>
          </w:p>
        </w:tc>
        <w:tc>
          <w:tcPr>
            <w:tcW w:w="1985" w:type="dxa"/>
            <w:noWrap/>
            <w:vAlign w:val="center"/>
            <w:hideMark/>
          </w:tcPr>
          <w:p w14:paraId="6EEE8D98" w14:textId="71B729AA" w:rsidR="0036123C" w:rsidRPr="00CB6EDA" w:rsidRDefault="0036123C" w:rsidP="0036123C">
            <w:pPr>
              <w:spacing w:after="160" w:line="259" w:lineRule="auto"/>
              <w:jc w:val="center"/>
              <w:rPr>
                <w:szCs w:val="22"/>
              </w:rPr>
            </w:pPr>
            <w:r>
              <w:rPr>
                <w:szCs w:val="22"/>
              </w:rPr>
              <w:t>62,782</w:t>
            </w:r>
          </w:p>
        </w:tc>
        <w:tc>
          <w:tcPr>
            <w:tcW w:w="1500" w:type="dxa"/>
            <w:noWrap/>
            <w:vAlign w:val="center"/>
            <w:hideMark/>
          </w:tcPr>
          <w:p w14:paraId="50BAF6C1" w14:textId="5859ABCD" w:rsidR="0036123C" w:rsidRPr="00CB6EDA" w:rsidRDefault="0036123C" w:rsidP="0036123C">
            <w:pPr>
              <w:spacing w:after="160" w:line="259" w:lineRule="auto"/>
              <w:jc w:val="center"/>
              <w:rPr>
                <w:szCs w:val="22"/>
              </w:rPr>
            </w:pPr>
            <w:r>
              <w:rPr>
                <w:color w:val="000000"/>
                <w:sz w:val="20"/>
                <w:szCs w:val="20"/>
              </w:rPr>
              <w:t>-96.60%</w:t>
            </w:r>
          </w:p>
        </w:tc>
      </w:tr>
      <w:tr w:rsidR="0036123C" w:rsidRPr="00CB6EDA" w14:paraId="53ABE77E" w14:textId="77777777" w:rsidTr="0036123C">
        <w:trPr>
          <w:trHeight w:val="83"/>
        </w:trPr>
        <w:tc>
          <w:tcPr>
            <w:tcW w:w="2689" w:type="dxa"/>
            <w:noWrap/>
            <w:hideMark/>
          </w:tcPr>
          <w:p w14:paraId="23160185" w14:textId="6146CAF8" w:rsidR="0036123C" w:rsidRPr="00CB6EDA" w:rsidRDefault="0036123C" w:rsidP="0036123C">
            <w:pPr>
              <w:spacing w:after="160" w:line="259" w:lineRule="auto"/>
              <w:rPr>
                <w:szCs w:val="22"/>
              </w:rPr>
            </w:pPr>
            <w:r w:rsidRPr="005F3697">
              <w:t>South Korea</w:t>
            </w:r>
          </w:p>
        </w:tc>
        <w:tc>
          <w:tcPr>
            <w:tcW w:w="1417" w:type="dxa"/>
            <w:noWrap/>
            <w:hideMark/>
          </w:tcPr>
          <w:p w14:paraId="1E450756" w14:textId="22CE8DA0" w:rsidR="0036123C" w:rsidRPr="00CB6EDA" w:rsidRDefault="0036123C" w:rsidP="0036123C">
            <w:pPr>
              <w:spacing w:after="160" w:line="259" w:lineRule="auto"/>
              <w:jc w:val="center"/>
              <w:rPr>
                <w:szCs w:val="22"/>
              </w:rPr>
            </w:pPr>
            <w:r w:rsidRPr="00454BB1">
              <w:t>058816</w:t>
            </w:r>
          </w:p>
        </w:tc>
        <w:tc>
          <w:tcPr>
            <w:tcW w:w="2268" w:type="dxa"/>
            <w:noWrap/>
            <w:vAlign w:val="center"/>
            <w:hideMark/>
          </w:tcPr>
          <w:p w14:paraId="593734AC" w14:textId="66D2FBD3" w:rsidR="0036123C" w:rsidRPr="00CB6EDA" w:rsidRDefault="0036123C" w:rsidP="0036123C">
            <w:pPr>
              <w:spacing w:after="160" w:line="259" w:lineRule="auto"/>
              <w:jc w:val="center"/>
              <w:rPr>
                <w:szCs w:val="22"/>
              </w:rPr>
            </w:pPr>
            <w:r>
              <w:rPr>
                <w:szCs w:val="22"/>
              </w:rPr>
              <w:t>24,610</w:t>
            </w:r>
          </w:p>
        </w:tc>
        <w:tc>
          <w:tcPr>
            <w:tcW w:w="1985" w:type="dxa"/>
            <w:noWrap/>
            <w:vAlign w:val="center"/>
            <w:hideMark/>
          </w:tcPr>
          <w:p w14:paraId="35ECA0CC" w14:textId="2526EE3C" w:rsidR="0036123C" w:rsidRPr="00CB6EDA" w:rsidRDefault="0036123C" w:rsidP="0036123C">
            <w:pPr>
              <w:spacing w:after="160" w:line="259" w:lineRule="auto"/>
              <w:jc w:val="center"/>
              <w:rPr>
                <w:szCs w:val="22"/>
              </w:rPr>
            </w:pPr>
            <w:r>
              <w:rPr>
                <w:szCs w:val="22"/>
              </w:rPr>
              <w:t>27,705</w:t>
            </w:r>
          </w:p>
        </w:tc>
        <w:tc>
          <w:tcPr>
            <w:tcW w:w="1500" w:type="dxa"/>
            <w:noWrap/>
            <w:vAlign w:val="center"/>
            <w:hideMark/>
          </w:tcPr>
          <w:p w14:paraId="51E184AE" w14:textId="1816DD8C" w:rsidR="0036123C" w:rsidRPr="00CB6EDA" w:rsidRDefault="0036123C" w:rsidP="0036123C">
            <w:pPr>
              <w:spacing w:after="160" w:line="259" w:lineRule="auto"/>
              <w:jc w:val="center"/>
              <w:rPr>
                <w:szCs w:val="22"/>
              </w:rPr>
            </w:pPr>
            <w:r>
              <w:rPr>
                <w:color w:val="000000"/>
                <w:sz w:val="20"/>
                <w:szCs w:val="20"/>
              </w:rPr>
              <w:t>-12.58%</w:t>
            </w:r>
          </w:p>
        </w:tc>
      </w:tr>
      <w:tr w:rsidR="0036123C" w:rsidRPr="00CB6EDA" w14:paraId="45E08675" w14:textId="77777777" w:rsidTr="0036123C">
        <w:trPr>
          <w:trHeight w:val="83"/>
        </w:trPr>
        <w:tc>
          <w:tcPr>
            <w:tcW w:w="2689" w:type="dxa"/>
            <w:noWrap/>
          </w:tcPr>
          <w:p w14:paraId="211F678E" w14:textId="73E5646E" w:rsidR="0036123C" w:rsidRPr="00CB6EDA" w:rsidRDefault="0036123C" w:rsidP="0036123C">
            <w:pPr>
              <w:spacing w:after="160" w:line="259" w:lineRule="auto"/>
              <w:rPr>
                <w:szCs w:val="22"/>
              </w:rPr>
            </w:pPr>
            <w:r w:rsidRPr="005F3697">
              <w:t>Taiwan</w:t>
            </w:r>
          </w:p>
        </w:tc>
        <w:tc>
          <w:tcPr>
            <w:tcW w:w="1417" w:type="dxa"/>
            <w:noWrap/>
          </w:tcPr>
          <w:p w14:paraId="4CD470C7" w14:textId="691C0A1D" w:rsidR="0036123C" w:rsidRPr="00CB6EDA" w:rsidRDefault="0036123C" w:rsidP="0036123C">
            <w:pPr>
              <w:spacing w:after="160" w:line="259" w:lineRule="auto"/>
              <w:jc w:val="center"/>
              <w:rPr>
                <w:szCs w:val="22"/>
              </w:rPr>
            </w:pPr>
            <w:r w:rsidRPr="00454BB1">
              <w:t>058088</w:t>
            </w:r>
          </w:p>
        </w:tc>
        <w:tc>
          <w:tcPr>
            <w:tcW w:w="2268" w:type="dxa"/>
            <w:noWrap/>
            <w:vAlign w:val="center"/>
          </w:tcPr>
          <w:p w14:paraId="0CF76161" w14:textId="6D1D2926" w:rsidR="0036123C" w:rsidRPr="00CB6EDA" w:rsidRDefault="0036123C" w:rsidP="0036123C">
            <w:pPr>
              <w:spacing w:after="160" w:line="259" w:lineRule="auto"/>
              <w:jc w:val="center"/>
              <w:rPr>
                <w:szCs w:val="22"/>
              </w:rPr>
            </w:pPr>
            <w:r>
              <w:rPr>
                <w:szCs w:val="22"/>
              </w:rPr>
              <w:t>32,637</w:t>
            </w:r>
          </w:p>
        </w:tc>
        <w:tc>
          <w:tcPr>
            <w:tcW w:w="1985" w:type="dxa"/>
            <w:noWrap/>
            <w:vAlign w:val="center"/>
          </w:tcPr>
          <w:p w14:paraId="095F8CF9" w14:textId="2D095841" w:rsidR="0036123C" w:rsidRPr="00CB6EDA" w:rsidRDefault="0036123C" w:rsidP="0036123C">
            <w:pPr>
              <w:spacing w:after="160" w:line="259" w:lineRule="auto"/>
              <w:jc w:val="center"/>
              <w:rPr>
                <w:szCs w:val="22"/>
              </w:rPr>
            </w:pPr>
            <w:r>
              <w:rPr>
                <w:szCs w:val="22"/>
              </w:rPr>
              <w:t>23.4</w:t>
            </w:r>
          </w:p>
        </w:tc>
        <w:tc>
          <w:tcPr>
            <w:tcW w:w="1500" w:type="dxa"/>
            <w:noWrap/>
            <w:vAlign w:val="center"/>
          </w:tcPr>
          <w:p w14:paraId="31AFF1EB" w14:textId="403E0A38" w:rsidR="0036123C" w:rsidRPr="00CB6EDA" w:rsidRDefault="0036123C" w:rsidP="0036123C">
            <w:pPr>
              <w:spacing w:after="160" w:line="259" w:lineRule="auto"/>
              <w:jc w:val="center"/>
              <w:rPr>
                <w:szCs w:val="22"/>
              </w:rPr>
            </w:pPr>
            <w:r>
              <w:rPr>
                <w:color w:val="FF0000"/>
                <w:sz w:val="20"/>
                <w:szCs w:val="20"/>
              </w:rPr>
              <w:t>99.93%</w:t>
            </w:r>
          </w:p>
        </w:tc>
      </w:tr>
      <w:tr w:rsidR="0036123C" w:rsidRPr="00CB6EDA" w14:paraId="41FB6195" w14:textId="77777777" w:rsidTr="0036123C">
        <w:trPr>
          <w:trHeight w:val="83"/>
        </w:trPr>
        <w:tc>
          <w:tcPr>
            <w:tcW w:w="2689" w:type="dxa"/>
            <w:noWrap/>
          </w:tcPr>
          <w:p w14:paraId="50AA6A8E" w14:textId="34D808DC" w:rsidR="0036123C" w:rsidRPr="00CB6EDA" w:rsidRDefault="0036123C" w:rsidP="0036123C">
            <w:pPr>
              <w:spacing w:after="160" w:line="259" w:lineRule="auto"/>
              <w:rPr>
                <w:szCs w:val="22"/>
              </w:rPr>
            </w:pPr>
            <w:r w:rsidRPr="005F3697">
              <w:t>Others</w:t>
            </w:r>
            <w:r>
              <w:t xml:space="preserve"> / Rest of World</w:t>
            </w:r>
          </w:p>
        </w:tc>
        <w:tc>
          <w:tcPr>
            <w:tcW w:w="1417" w:type="dxa"/>
            <w:noWrap/>
          </w:tcPr>
          <w:p w14:paraId="34C6B136" w14:textId="73BCF650" w:rsidR="0036123C" w:rsidRPr="00CB6EDA" w:rsidRDefault="0036123C" w:rsidP="0036123C">
            <w:pPr>
              <w:spacing w:after="160" w:line="259" w:lineRule="auto"/>
              <w:jc w:val="center"/>
              <w:rPr>
                <w:szCs w:val="22"/>
              </w:rPr>
            </w:pPr>
            <w:r w:rsidRPr="00454BB1">
              <w:t>058007</w:t>
            </w:r>
          </w:p>
        </w:tc>
        <w:tc>
          <w:tcPr>
            <w:tcW w:w="2268" w:type="dxa"/>
            <w:noWrap/>
            <w:vAlign w:val="center"/>
          </w:tcPr>
          <w:p w14:paraId="45894679" w14:textId="770B5D5F" w:rsidR="0036123C" w:rsidRPr="00CB6EDA" w:rsidRDefault="0036123C" w:rsidP="0036123C">
            <w:pPr>
              <w:spacing w:after="160" w:line="259" w:lineRule="auto"/>
              <w:jc w:val="center"/>
              <w:rPr>
                <w:szCs w:val="22"/>
              </w:rPr>
            </w:pPr>
            <w:r>
              <w:rPr>
                <w:szCs w:val="22"/>
              </w:rPr>
              <w:t>71,359</w:t>
            </w:r>
          </w:p>
        </w:tc>
        <w:tc>
          <w:tcPr>
            <w:tcW w:w="1985" w:type="dxa"/>
            <w:noWrap/>
            <w:vAlign w:val="center"/>
          </w:tcPr>
          <w:p w14:paraId="3E617257" w14:textId="1EBCCA97" w:rsidR="0036123C" w:rsidRPr="00CB6EDA" w:rsidRDefault="0036123C" w:rsidP="0036123C">
            <w:pPr>
              <w:spacing w:after="160" w:line="259" w:lineRule="auto"/>
              <w:jc w:val="center"/>
              <w:rPr>
                <w:szCs w:val="22"/>
              </w:rPr>
            </w:pPr>
            <w:r>
              <w:rPr>
                <w:szCs w:val="22"/>
              </w:rPr>
              <w:t>9,130</w:t>
            </w:r>
          </w:p>
        </w:tc>
        <w:tc>
          <w:tcPr>
            <w:tcW w:w="1500" w:type="dxa"/>
            <w:noWrap/>
            <w:vAlign w:val="center"/>
          </w:tcPr>
          <w:p w14:paraId="3B6C3A0A" w14:textId="271AE654" w:rsidR="0036123C" w:rsidRPr="00CB6EDA" w:rsidRDefault="0036123C" w:rsidP="0036123C">
            <w:pPr>
              <w:spacing w:after="160" w:line="259" w:lineRule="auto"/>
              <w:jc w:val="center"/>
              <w:rPr>
                <w:szCs w:val="22"/>
              </w:rPr>
            </w:pPr>
            <w:r w:rsidRPr="0036123C">
              <w:rPr>
                <w:color w:val="FF0000"/>
                <w:sz w:val="20"/>
                <w:szCs w:val="20"/>
              </w:rPr>
              <w:t>87.21%</w:t>
            </w:r>
          </w:p>
        </w:tc>
      </w:tr>
    </w:tbl>
    <w:p w14:paraId="055725AB" w14:textId="77777777" w:rsidR="004232FF" w:rsidRDefault="004232FF" w:rsidP="00E16168">
      <w:pPr>
        <w:spacing w:after="160" w:line="259" w:lineRule="auto"/>
        <w:rPr>
          <w:rFonts w:eastAsia="Calibri"/>
        </w:rPr>
      </w:pPr>
    </w:p>
    <w:p w14:paraId="4DA5B628" w14:textId="73F038CD" w:rsidR="004232FF" w:rsidRDefault="004232FF" w:rsidP="00E16168">
      <w:pPr>
        <w:spacing w:after="160" w:line="259" w:lineRule="auto"/>
        <w:rPr>
          <w:rFonts w:eastAsia="Calibri"/>
        </w:rPr>
      </w:pPr>
      <w:r>
        <w:rPr>
          <w:noProof/>
        </w:rPr>
        <w:lastRenderedPageBreak/>
        <w:drawing>
          <wp:anchor distT="0" distB="0" distL="114300" distR="114300" simplePos="0" relativeHeight="251659264" behindDoc="1" locked="0" layoutInCell="1" allowOverlap="1" wp14:anchorId="65C1E267" wp14:editId="46DE5AA5">
            <wp:simplePos x="0" y="0"/>
            <wp:positionH relativeFrom="margin">
              <wp:posOffset>-196850</wp:posOffset>
            </wp:positionH>
            <wp:positionV relativeFrom="paragraph">
              <wp:posOffset>806450</wp:posOffset>
            </wp:positionV>
            <wp:extent cx="6248400" cy="3568700"/>
            <wp:effectExtent l="0" t="0" r="0" b="12700"/>
            <wp:wrapTight wrapText="bothSides">
              <wp:wrapPolygon edited="0">
                <wp:start x="0" y="0"/>
                <wp:lineTo x="0" y="21562"/>
                <wp:lineTo x="21534" y="21562"/>
                <wp:lineTo x="21534" y="0"/>
                <wp:lineTo x="0" y="0"/>
              </wp:wrapPolygon>
            </wp:wrapTight>
            <wp:docPr id="1" name="Chart 1">
              <a:extLst xmlns:a="http://schemas.openxmlformats.org/drawingml/2006/main">
                <a:ext uri="{FF2B5EF4-FFF2-40B4-BE49-F238E27FC236}">
                  <a16:creationId xmlns:a16="http://schemas.microsoft.com/office/drawing/2014/main" id="{A9F1C172-0AFC-4000-8457-AF8C90FC3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67475F">
        <w:rPr>
          <w:rFonts w:eastAsia="Calibri"/>
        </w:rPr>
        <w:t xml:space="preserve">The relative shift away from EU imports </w:t>
      </w:r>
      <w:r w:rsidR="00A472FB">
        <w:rPr>
          <w:rFonts w:eastAsia="Calibri"/>
        </w:rPr>
        <w:t>to non-EU imports is further demonstrated in Figure 1 below</w:t>
      </w:r>
      <w:r w:rsidR="0042503D">
        <w:rPr>
          <w:rFonts w:eastAsia="Calibri"/>
        </w:rPr>
        <w:t xml:space="preserve">, which plots the </w:t>
      </w:r>
      <w:r w:rsidR="008C3459">
        <w:rPr>
          <w:rFonts w:eastAsia="Calibri"/>
        </w:rPr>
        <w:t xml:space="preserve">volume of Category 4 steel products imported to the UK </w:t>
      </w:r>
      <w:r w:rsidR="00464837">
        <w:rPr>
          <w:rFonts w:eastAsia="Calibri"/>
        </w:rPr>
        <w:t>from EU and non-EU sources.</w:t>
      </w:r>
      <w:r w:rsidR="00BF1FB9">
        <w:rPr>
          <w:rFonts w:eastAsia="Calibri"/>
        </w:rPr>
        <w:t xml:space="preserve"> In particular,</w:t>
      </w:r>
      <w:r w:rsidR="00A86775">
        <w:rPr>
          <w:rFonts w:eastAsia="Calibri"/>
        </w:rPr>
        <w:t xml:space="preserve"> </w:t>
      </w:r>
      <w:r w:rsidR="00BF1FB9" w:rsidRPr="00BE5A30">
        <w:rPr>
          <w:rFonts w:eastAsia="Calibri"/>
          <w:b/>
          <w:bCs/>
        </w:rPr>
        <w:t>a</w:t>
      </w:r>
      <w:r w:rsidR="00A86775" w:rsidRPr="00BE5A30">
        <w:rPr>
          <w:rFonts w:eastAsia="Calibri"/>
          <w:b/>
          <w:bCs/>
        </w:rPr>
        <w:t xml:space="preserve"> recent rise in non-EU imports</w:t>
      </w:r>
      <w:r w:rsidR="00BF1FB9" w:rsidRPr="00BE5A30">
        <w:rPr>
          <w:rFonts w:eastAsia="Calibri"/>
          <w:b/>
          <w:bCs/>
        </w:rPr>
        <w:t>, at the expense of EU imports, is visible</w:t>
      </w:r>
      <w:r w:rsidR="00BF1FB9">
        <w:rPr>
          <w:rFonts w:eastAsia="Calibri"/>
        </w:rPr>
        <w:t xml:space="preserve"> – reflecting shifts in supply and demand</w:t>
      </w:r>
      <w:r w:rsidR="001D2B7A">
        <w:rPr>
          <w:rFonts w:eastAsia="Calibri"/>
        </w:rPr>
        <w:t>.</w:t>
      </w:r>
    </w:p>
    <w:p w14:paraId="48F36477" w14:textId="765CEBB7" w:rsidR="00BE5A30" w:rsidRDefault="00885F04" w:rsidP="006F2F88">
      <w:pPr>
        <w:tabs>
          <w:tab w:val="left" w:pos="1008"/>
        </w:tabs>
        <w:jc w:val="cente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1D2B7A" w:rsidRPr="00885F04">
        <w:rPr>
          <w:rFonts w:eastAsia="Calibri"/>
          <w:sz w:val="18"/>
          <w:szCs w:val="20"/>
        </w:rPr>
        <w:t xml:space="preserve">Source: </w:t>
      </w:r>
      <w:r w:rsidRPr="00885F04">
        <w:rPr>
          <w:rFonts w:eastAsia="Calibri"/>
          <w:sz w:val="18"/>
          <w:szCs w:val="20"/>
        </w:rPr>
        <w:t>UK Trade Info</w:t>
      </w:r>
    </w:p>
    <w:p w14:paraId="65CBB068" w14:textId="77777777" w:rsidR="006F2F88" w:rsidRPr="00F10231" w:rsidRDefault="006F2F88" w:rsidP="006F2F88">
      <w:pPr>
        <w:tabs>
          <w:tab w:val="left" w:pos="1008"/>
        </w:tabs>
        <w:jc w:val="center"/>
        <w:rPr>
          <w:rFonts w:eastAsia="Calibri"/>
          <w:sz w:val="10"/>
          <w:szCs w:val="12"/>
        </w:rPr>
      </w:pPr>
    </w:p>
    <w:p w14:paraId="49D2C067" w14:textId="31D7EF36" w:rsidR="0090286D" w:rsidRPr="00436023" w:rsidRDefault="009E646A" w:rsidP="00E16168">
      <w:pPr>
        <w:spacing w:after="160" w:line="259" w:lineRule="auto"/>
        <w:rPr>
          <w:rFonts w:eastAsia="Calibri"/>
          <w:szCs w:val="22"/>
        </w:rPr>
      </w:pPr>
      <w:r w:rsidRPr="009E646A">
        <w:rPr>
          <w:rFonts w:eastAsia="Calibri"/>
          <w:noProof/>
          <w:szCs w:val="22"/>
        </w:rPr>
        <mc:AlternateContent>
          <mc:Choice Requires="wps">
            <w:drawing>
              <wp:anchor distT="45720" distB="45720" distL="114300" distR="114300" simplePos="0" relativeHeight="251678720" behindDoc="0" locked="0" layoutInCell="1" allowOverlap="1" wp14:anchorId="75E78892" wp14:editId="325814C1">
                <wp:simplePos x="0" y="0"/>
                <wp:positionH relativeFrom="column">
                  <wp:posOffset>-82550</wp:posOffset>
                </wp:positionH>
                <wp:positionV relativeFrom="paragraph">
                  <wp:posOffset>1960245</wp:posOffset>
                </wp:positionV>
                <wp:extent cx="6088380" cy="2178050"/>
                <wp:effectExtent l="0" t="0" r="2667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78050"/>
                        </a:xfrm>
                        <a:prstGeom prst="rect">
                          <a:avLst/>
                        </a:prstGeom>
                        <a:solidFill>
                          <a:srgbClr val="DA0000"/>
                        </a:solidFill>
                        <a:ln>
                          <a:headEnd/>
                          <a:tailEnd/>
                        </a:ln>
                      </wps:spPr>
                      <wps:style>
                        <a:lnRef idx="3">
                          <a:schemeClr val="lt1"/>
                        </a:lnRef>
                        <a:fillRef idx="1">
                          <a:schemeClr val="accent1"/>
                        </a:fillRef>
                        <a:effectRef idx="1">
                          <a:schemeClr val="accent1"/>
                        </a:effectRef>
                        <a:fontRef idx="minor">
                          <a:schemeClr val="lt1"/>
                        </a:fontRef>
                      </wps:style>
                      <wps:txbx>
                        <w:txbxContent>
                          <w:p w14:paraId="67A13EE1" w14:textId="40B878F8" w:rsidR="009E646A" w:rsidRDefault="009E646A" w:rsidP="009E646A">
                            <w:pPr>
                              <w:pStyle w:val="ListParagraph"/>
                              <w:numPr>
                                <w:ilvl w:val="0"/>
                                <w:numId w:val="12"/>
                              </w:numPr>
                              <w:rPr>
                                <w:rFonts w:ascii="Arial" w:eastAsia="Calibri" w:hAnsi="Arial" w:cs="Arial"/>
                                <w:b/>
                                <w:bCs/>
                              </w:rPr>
                            </w:pPr>
                            <w:r w:rsidRPr="00FC34CF">
                              <w:rPr>
                                <w:rFonts w:ascii="Arial" w:eastAsia="Calibri" w:hAnsi="Arial" w:cs="Arial"/>
                                <w:b/>
                                <w:bCs/>
                              </w:rPr>
                              <w:t>Category 4</w:t>
                            </w:r>
                            <w:r>
                              <w:rPr>
                                <w:rFonts w:ascii="Arial" w:eastAsia="Calibri" w:hAnsi="Arial" w:cs="Arial"/>
                                <w:b/>
                                <w:bCs/>
                              </w:rPr>
                              <w:t xml:space="preserve"> Steel Products, Metallic Coated Sheets</w:t>
                            </w:r>
                          </w:p>
                          <w:p w14:paraId="000586A8" w14:textId="0D5852BC" w:rsidR="00B258DF" w:rsidRPr="00B258DF" w:rsidRDefault="00B258DF" w:rsidP="00B258DF">
                            <w:pPr>
                              <w:rPr>
                                <w:rFonts w:eastAsia="Calibri"/>
                                <w:b/>
                                <w:bCs/>
                                <w:sz w:val="8"/>
                                <w:szCs w:val="8"/>
                              </w:rPr>
                            </w:pPr>
                          </w:p>
                          <w:p w14:paraId="106AB624" w14:textId="14E47E32" w:rsidR="00B258DF" w:rsidRDefault="00B258DF" w:rsidP="00B258DF">
                            <w:pPr>
                              <w:rPr>
                                <w:rFonts w:eastAsia="Calibri"/>
                                <w:b/>
                                <w:bCs/>
                              </w:rPr>
                            </w:pPr>
                            <w:r>
                              <w:rPr>
                                <w:rFonts w:eastAsia="Calibri"/>
                                <w:b/>
                                <w:bCs/>
                              </w:rPr>
                              <w:t>IMPLEMENT CHANGE</w:t>
                            </w:r>
                          </w:p>
                          <w:p w14:paraId="58DF65FC" w14:textId="77777777" w:rsidR="00B258DF" w:rsidRPr="00B258DF" w:rsidRDefault="00B258DF" w:rsidP="00B258DF">
                            <w:pPr>
                              <w:rPr>
                                <w:rFonts w:eastAsia="Calibri"/>
                                <w:b/>
                                <w:bCs/>
                                <w:sz w:val="8"/>
                                <w:szCs w:val="8"/>
                              </w:rPr>
                            </w:pPr>
                          </w:p>
                          <w:p w14:paraId="2FF62A03" w14:textId="77777777" w:rsidR="009E646A" w:rsidRPr="00BA01C2" w:rsidRDefault="009E646A" w:rsidP="009E646A">
                            <w:pPr>
                              <w:pStyle w:val="ListParagraph"/>
                              <w:numPr>
                                <w:ilvl w:val="0"/>
                                <w:numId w:val="15"/>
                              </w:numPr>
                              <w:rPr>
                                <w:rFonts w:ascii="Arial" w:eastAsia="Calibri" w:hAnsi="Arial" w:cs="Arial"/>
                                <w:b/>
                                <w:bCs/>
                              </w:rPr>
                            </w:pPr>
                            <w:r>
                              <w:rPr>
                                <w:rFonts w:ascii="Arial" w:eastAsia="Calibri" w:hAnsi="Arial" w:cs="Arial"/>
                              </w:rPr>
                              <w:t>We disagree with the TRA’s original recommendation to maintain the current setup of steel safeguarding measures on Category 4 products.</w:t>
                            </w:r>
                          </w:p>
                          <w:p w14:paraId="11B67AA0" w14:textId="77777777" w:rsidR="009E646A" w:rsidRPr="00683D97" w:rsidRDefault="009E646A" w:rsidP="009E646A">
                            <w:pPr>
                              <w:pStyle w:val="ListParagraph"/>
                              <w:numPr>
                                <w:ilvl w:val="0"/>
                                <w:numId w:val="15"/>
                              </w:numPr>
                              <w:rPr>
                                <w:rFonts w:ascii="Arial" w:eastAsia="Calibri" w:hAnsi="Arial" w:cs="Arial"/>
                              </w:rPr>
                            </w:pPr>
                            <w:r w:rsidRPr="00683D97">
                              <w:rPr>
                                <w:rFonts w:ascii="Arial" w:eastAsia="Calibri" w:hAnsi="Arial" w:cs="Arial"/>
                              </w:rPr>
                              <w:t>UK companies are currently limited to importing category 4 products from outside the EU, but regular imminent quota exhaustion limits flexibility and certainty on the price and viability of importing the product.</w:t>
                            </w:r>
                          </w:p>
                          <w:p w14:paraId="2EE6C40D" w14:textId="77777777" w:rsidR="00D11AC3" w:rsidRPr="00691386" w:rsidRDefault="00D11AC3" w:rsidP="00D11AC3">
                            <w:pPr>
                              <w:pStyle w:val="ListParagraph"/>
                              <w:numPr>
                                <w:ilvl w:val="0"/>
                                <w:numId w:val="15"/>
                              </w:numPr>
                              <w:rPr>
                                <w:rFonts w:ascii="Arial" w:eastAsia="Calibri" w:hAnsi="Arial" w:cs="Arial"/>
                                <w:b/>
                                <w:bCs/>
                                <w:color w:val="000000" w:themeColor="text1"/>
                              </w:rPr>
                            </w:pPr>
                            <w:r w:rsidRPr="00D11AC3">
                              <w:rPr>
                                <w:rFonts w:ascii="Arial" w:eastAsia="Calibri" w:hAnsi="Arial" w:cs="Arial"/>
                                <w:color w:val="FFFFFF" w:themeColor="background1"/>
                              </w:rPr>
                              <w:t xml:space="preserve">It is recommended that the level of non-EU quotas (e.g. Taiwan, Rest of World) for Category 4 products is increased significantly, supporting import flexibility in the system for these products – reducing delays, costs and lack of adaptability for many businesses. Because this action would not require an increase in overall quota volume levels (but rather a redistribution from EU levels), injury to UK producers would be avoided. </w:t>
                            </w:r>
                          </w:p>
                          <w:p w14:paraId="7A486C7A" w14:textId="43D83BB2" w:rsidR="009E646A" w:rsidRDefault="009E646A" w:rsidP="00667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78892" id="_x0000_t202" coordsize="21600,21600" o:spt="202" path="m,l,21600r21600,l21600,xe">
                <v:stroke joinstyle="miter"/>
                <v:path gradientshapeok="t" o:connecttype="rect"/>
              </v:shapetype>
              <v:shape id="Text Box 2" o:spid="_x0000_s1026" type="#_x0000_t202" style="position:absolute;margin-left:-6.5pt;margin-top:154.35pt;width:479.4pt;height:17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1CCVAIAAPEEAAAOAAAAZHJzL2Uyb0RvYy54bWysVF1v0zAUfUfiP1h+p0mzbitR06m0DCGN&#10;D7HxAxzHbiwc32B7Tbpfz7WThjIkJBB5iGzfe47vuR9e3fSNJgdhnQJT0PkspUQYDpUy+4J+fbh9&#10;taTEeWYqpsGIgh6Fozfrly9WXZuLDGrQlbAESYzLu7agtfdtniSO16JhbgatMGiUYBvmcWv3SWVZ&#10;h+yNTrI0vUo6sFVrgQvn8HQ3GOk68kspuP8kpROe6IJibD7+bfyX4Z+sVyzfW9bWio9hsH+IomHK&#10;4KUT1Y55Rh6t+o2qUdyCA+lnHJoEpFRcRA2oZp4+U3Nfs1ZELZgc105pcv+Pln88fLZEVVi7jBLD&#10;GqzRg+g9eQM9yUJ6utbl6HXfop/v8Rhdo1TX3gH/5oiBbc3MXmysha4WrMLw5gGZnEEHHhdIyu4D&#10;VHgNe/QQiXppm5A7zAZBdizTcSpNCIXj4VW6XF4s0cTRls2vl+llLF7C8hO8tc6/E9CQsCioxdpH&#10;ena4cz6Ew/KTS7jNgVbVrdI6buy+3GpLDgz7ZLdJ8YsKnrlpE5yDxremiq3jmdLDGumDOYoOOkfF&#10;/qhFAGnzRUhMNGq5GNIXWlxMl2o/5Gz0DBCJwU2gMee/ghjnwkzA0T9ARWz9vwFPiHgzGD+BG2XA&#10;/jlkOfif1A+aQ/V9X/ZjD5VQHbH6FoYZxDcDFzXYJ0o6nL+Cuu+PzApK9HuDHfR6vliEgY2bxeV1&#10;hht7binPLcxwpCqop2RYbn0c8iDGwAY7TarYAyGoIZIxWJyr2BrjGxAG93wfvX6+VOsfAAAA//8D&#10;AFBLAwQUAAYACAAAACEAV+cBXeAAAAALAQAADwAAAGRycy9kb3ducmV2LnhtbEyPMU/DMBCFdyT+&#10;g3VIbK0dQpMS4lSAxBIm2izd3PhIImI7sp02/HuOiY6ne3rv+8rdYkZ2Rh8GZyUkawEMbev0YDsJ&#10;zeF9tQUWorJajc6ihB8MsKtub0pVaHexn3jex45RiQ2FktDHOBWch7ZHo8LaTWjp9+W8UZFO33Ht&#10;1YXKzcgfhMi4UYOlhV5N+NZj+72fjYS5zuoFh0NzTJv8KFKffbzyWsr7u+XlGVjEJf6H4Q+f0KEi&#10;ppObrQ5slLBKUnKJElKxzYFR4ulxQzInCdkmyYFXJb92qH4BAAD//wMAUEsBAi0AFAAGAAgAAAAh&#10;ALaDOJL+AAAA4QEAABMAAAAAAAAAAAAAAAAAAAAAAFtDb250ZW50X1R5cGVzXS54bWxQSwECLQAU&#10;AAYACAAAACEAOP0h/9YAAACUAQAACwAAAAAAAAAAAAAAAAAvAQAAX3JlbHMvLnJlbHNQSwECLQAU&#10;AAYACAAAACEAtTNQglQCAADxBAAADgAAAAAAAAAAAAAAAAAuAgAAZHJzL2Uyb0RvYy54bWxQSwEC&#10;LQAUAAYACAAAACEAV+cBXeAAAAALAQAADwAAAAAAAAAAAAAAAACuBAAAZHJzL2Rvd25yZXYueG1s&#10;UEsFBgAAAAAEAAQA8wAAALsFAAAAAA==&#10;" fillcolor="#da0000" strokecolor="white [3201]" strokeweight="1.5pt">
                <v:textbox>
                  <w:txbxContent>
                    <w:p w14:paraId="67A13EE1" w14:textId="40B878F8" w:rsidR="009E646A" w:rsidRDefault="009E646A" w:rsidP="009E646A">
                      <w:pPr>
                        <w:pStyle w:val="ListParagraph"/>
                        <w:numPr>
                          <w:ilvl w:val="0"/>
                          <w:numId w:val="12"/>
                        </w:numPr>
                        <w:rPr>
                          <w:rFonts w:ascii="Arial" w:eastAsia="Calibri" w:hAnsi="Arial" w:cs="Arial"/>
                          <w:b/>
                          <w:bCs/>
                        </w:rPr>
                      </w:pPr>
                      <w:r w:rsidRPr="00FC34CF">
                        <w:rPr>
                          <w:rFonts w:ascii="Arial" w:eastAsia="Calibri" w:hAnsi="Arial" w:cs="Arial"/>
                          <w:b/>
                          <w:bCs/>
                        </w:rPr>
                        <w:t>Category 4</w:t>
                      </w:r>
                      <w:r>
                        <w:rPr>
                          <w:rFonts w:ascii="Arial" w:eastAsia="Calibri" w:hAnsi="Arial" w:cs="Arial"/>
                          <w:b/>
                          <w:bCs/>
                        </w:rPr>
                        <w:t xml:space="preserve"> Steel Products, Metallic Coated Sheets</w:t>
                      </w:r>
                    </w:p>
                    <w:p w14:paraId="000586A8" w14:textId="0D5852BC" w:rsidR="00B258DF" w:rsidRPr="00B258DF" w:rsidRDefault="00B258DF" w:rsidP="00B258DF">
                      <w:pPr>
                        <w:rPr>
                          <w:rFonts w:eastAsia="Calibri"/>
                          <w:b/>
                          <w:bCs/>
                          <w:sz w:val="8"/>
                          <w:szCs w:val="8"/>
                        </w:rPr>
                      </w:pPr>
                    </w:p>
                    <w:p w14:paraId="106AB624" w14:textId="14E47E32" w:rsidR="00B258DF" w:rsidRDefault="00B258DF" w:rsidP="00B258DF">
                      <w:pPr>
                        <w:rPr>
                          <w:rFonts w:eastAsia="Calibri"/>
                          <w:b/>
                          <w:bCs/>
                        </w:rPr>
                      </w:pPr>
                      <w:r>
                        <w:rPr>
                          <w:rFonts w:eastAsia="Calibri"/>
                          <w:b/>
                          <w:bCs/>
                        </w:rPr>
                        <w:t>IMPLEMENT CHANGE</w:t>
                      </w:r>
                    </w:p>
                    <w:p w14:paraId="58DF65FC" w14:textId="77777777" w:rsidR="00B258DF" w:rsidRPr="00B258DF" w:rsidRDefault="00B258DF" w:rsidP="00B258DF">
                      <w:pPr>
                        <w:rPr>
                          <w:rFonts w:eastAsia="Calibri"/>
                          <w:b/>
                          <w:bCs/>
                          <w:sz w:val="8"/>
                          <w:szCs w:val="8"/>
                        </w:rPr>
                      </w:pPr>
                    </w:p>
                    <w:p w14:paraId="2FF62A03" w14:textId="77777777" w:rsidR="009E646A" w:rsidRPr="00BA01C2" w:rsidRDefault="009E646A" w:rsidP="009E646A">
                      <w:pPr>
                        <w:pStyle w:val="ListParagraph"/>
                        <w:numPr>
                          <w:ilvl w:val="0"/>
                          <w:numId w:val="15"/>
                        </w:numPr>
                        <w:rPr>
                          <w:rFonts w:ascii="Arial" w:eastAsia="Calibri" w:hAnsi="Arial" w:cs="Arial"/>
                          <w:b/>
                          <w:bCs/>
                        </w:rPr>
                      </w:pPr>
                      <w:r>
                        <w:rPr>
                          <w:rFonts w:ascii="Arial" w:eastAsia="Calibri" w:hAnsi="Arial" w:cs="Arial"/>
                        </w:rPr>
                        <w:t>We disagree with the TRA’s original recommendation to maintain the current setup of steel safeguarding measures on Category 4 products.</w:t>
                      </w:r>
                    </w:p>
                    <w:p w14:paraId="11B67AA0" w14:textId="77777777" w:rsidR="009E646A" w:rsidRPr="00683D97" w:rsidRDefault="009E646A" w:rsidP="009E646A">
                      <w:pPr>
                        <w:pStyle w:val="ListParagraph"/>
                        <w:numPr>
                          <w:ilvl w:val="0"/>
                          <w:numId w:val="15"/>
                        </w:numPr>
                        <w:rPr>
                          <w:rFonts w:ascii="Arial" w:eastAsia="Calibri" w:hAnsi="Arial" w:cs="Arial"/>
                        </w:rPr>
                      </w:pPr>
                      <w:r w:rsidRPr="00683D97">
                        <w:rPr>
                          <w:rFonts w:ascii="Arial" w:eastAsia="Calibri" w:hAnsi="Arial" w:cs="Arial"/>
                        </w:rPr>
                        <w:t>UK companies are currently limited to importing category 4 products from outside the EU, but regular imminent quota exhaustion limits flexibility and certainty on the price and viability of importing the product.</w:t>
                      </w:r>
                    </w:p>
                    <w:p w14:paraId="2EE6C40D" w14:textId="77777777" w:rsidR="00D11AC3" w:rsidRPr="00691386" w:rsidRDefault="00D11AC3" w:rsidP="00D11AC3">
                      <w:pPr>
                        <w:pStyle w:val="ListParagraph"/>
                        <w:numPr>
                          <w:ilvl w:val="0"/>
                          <w:numId w:val="15"/>
                        </w:numPr>
                        <w:rPr>
                          <w:rFonts w:ascii="Arial" w:eastAsia="Calibri" w:hAnsi="Arial" w:cs="Arial"/>
                          <w:b/>
                          <w:bCs/>
                          <w:color w:val="000000" w:themeColor="text1"/>
                        </w:rPr>
                      </w:pPr>
                      <w:r w:rsidRPr="00D11AC3">
                        <w:rPr>
                          <w:rFonts w:ascii="Arial" w:eastAsia="Calibri" w:hAnsi="Arial" w:cs="Arial"/>
                          <w:color w:val="FFFFFF" w:themeColor="background1"/>
                        </w:rPr>
                        <w:t xml:space="preserve">It is recommended that the level of non-EU quotas (e.g. Taiwan, Rest of World) for Category 4 products is increased significantly, supporting import flexibility in the system for these products – reducing delays, costs and lack of adaptability for many businesses. Because this action would not require an increase in overall quota volume levels (but rather a redistribution from EU levels), injury to UK producers would be avoided. </w:t>
                      </w:r>
                    </w:p>
                    <w:p w14:paraId="7A486C7A" w14:textId="43D83BB2" w:rsidR="009E646A" w:rsidRDefault="009E646A" w:rsidP="00667CD0"/>
                  </w:txbxContent>
                </v:textbox>
                <w10:wrap type="square"/>
              </v:shape>
            </w:pict>
          </mc:Fallback>
        </mc:AlternateContent>
      </w:r>
      <w:r w:rsidR="00E16168" w:rsidRPr="004B5D58">
        <w:rPr>
          <w:rFonts w:eastAsia="Calibri"/>
          <w:szCs w:val="22"/>
        </w:rPr>
        <w:t>While the TRA</w:t>
      </w:r>
      <w:r>
        <w:rPr>
          <w:rFonts w:eastAsia="Calibri"/>
          <w:szCs w:val="22"/>
        </w:rPr>
        <w:t xml:space="preserve">’s original recommendation </w:t>
      </w:r>
      <w:r w:rsidR="00E16168" w:rsidRPr="004B5D58">
        <w:rPr>
          <w:rFonts w:eastAsia="Calibri"/>
          <w:szCs w:val="22"/>
        </w:rPr>
        <w:t xml:space="preserve">suggested a quota should apply to </w:t>
      </w:r>
      <w:r w:rsidR="004048ED">
        <w:rPr>
          <w:rFonts w:eastAsia="Calibri"/>
          <w:szCs w:val="22"/>
        </w:rPr>
        <w:t>c</w:t>
      </w:r>
      <w:r w:rsidR="00BE5A30">
        <w:rPr>
          <w:rFonts w:eastAsia="Calibri"/>
          <w:szCs w:val="22"/>
        </w:rPr>
        <w:t xml:space="preserve">ategory </w:t>
      </w:r>
      <w:r w:rsidR="00E16168" w:rsidRPr="004B5D58">
        <w:rPr>
          <w:rFonts w:eastAsia="Calibri"/>
          <w:szCs w:val="22"/>
        </w:rPr>
        <w:t xml:space="preserve">4, </w:t>
      </w:r>
      <w:r w:rsidR="00E16168" w:rsidRPr="004B5D58">
        <w:rPr>
          <w:rFonts w:eastAsia="Calibri"/>
          <w:b/>
          <w:bCs/>
          <w:szCs w:val="22"/>
        </w:rPr>
        <w:t>we believe the evidence provided suggests a rethink that builds flexibility in the system</w:t>
      </w:r>
      <w:r w:rsidR="00E16168" w:rsidRPr="004B5D58">
        <w:rPr>
          <w:rFonts w:eastAsia="Calibri"/>
          <w:szCs w:val="22"/>
        </w:rPr>
        <w:t xml:space="preserve">, allowing UK downstream users to be as competitive as possible. This should include the </w:t>
      </w:r>
      <w:r w:rsidR="00E16168" w:rsidRPr="004B5D58">
        <w:rPr>
          <w:rFonts w:eastAsia="Calibri"/>
          <w:b/>
          <w:bCs/>
          <w:szCs w:val="22"/>
        </w:rPr>
        <w:t xml:space="preserve">considerable increase of </w:t>
      </w:r>
      <w:r w:rsidR="0090286D">
        <w:rPr>
          <w:rFonts w:eastAsia="Calibri"/>
          <w:b/>
          <w:bCs/>
          <w:szCs w:val="22"/>
        </w:rPr>
        <w:t xml:space="preserve">non-EU </w:t>
      </w:r>
      <w:r w:rsidR="00E16168" w:rsidRPr="004B5D58">
        <w:rPr>
          <w:rFonts w:eastAsia="Calibri"/>
          <w:b/>
          <w:bCs/>
          <w:szCs w:val="22"/>
        </w:rPr>
        <w:t>quota</w:t>
      </w:r>
      <w:r w:rsidR="0090286D">
        <w:rPr>
          <w:rFonts w:eastAsia="Calibri"/>
          <w:b/>
          <w:bCs/>
          <w:szCs w:val="22"/>
        </w:rPr>
        <w:t>s</w:t>
      </w:r>
      <w:r w:rsidR="00E16168" w:rsidRPr="004B5D58">
        <w:rPr>
          <w:rFonts w:eastAsia="Calibri"/>
          <w:b/>
          <w:bCs/>
          <w:szCs w:val="22"/>
        </w:rPr>
        <w:t xml:space="preserve"> on category 4</w:t>
      </w:r>
      <w:r w:rsidR="0090286D">
        <w:rPr>
          <w:rFonts w:eastAsia="Calibri"/>
          <w:b/>
          <w:bCs/>
          <w:szCs w:val="22"/>
        </w:rPr>
        <w:t xml:space="preserve"> (away from EU</w:t>
      </w:r>
      <w:r w:rsidR="002D6BA2">
        <w:rPr>
          <w:rFonts w:eastAsia="Calibri"/>
          <w:b/>
          <w:bCs/>
          <w:szCs w:val="22"/>
        </w:rPr>
        <w:t xml:space="preserve"> to Taiwan and Rest of the World in particular</w:t>
      </w:r>
      <w:r w:rsidR="0090286D">
        <w:rPr>
          <w:rFonts w:eastAsia="Calibri"/>
          <w:b/>
          <w:bCs/>
          <w:szCs w:val="22"/>
        </w:rPr>
        <w:t>)</w:t>
      </w:r>
      <w:r w:rsidR="00E16168" w:rsidRPr="004B5D58">
        <w:rPr>
          <w:rFonts w:eastAsia="Calibri"/>
          <w:b/>
          <w:bCs/>
          <w:szCs w:val="22"/>
        </w:rPr>
        <w:t>, at least on a temporary basis</w:t>
      </w:r>
      <w:r w:rsidR="00E16168" w:rsidRPr="004B5D58">
        <w:rPr>
          <w:rFonts w:eastAsia="Calibri"/>
          <w:szCs w:val="22"/>
        </w:rPr>
        <w:t xml:space="preserve">. Otherwise, a similar situation for category 12 will occur for category 4 in the near future, with other grades </w:t>
      </w:r>
      <w:r w:rsidR="0090286D">
        <w:rPr>
          <w:rFonts w:eastAsia="Calibri"/>
          <w:szCs w:val="22"/>
        </w:rPr>
        <w:t xml:space="preserve">potentially </w:t>
      </w:r>
      <w:r w:rsidR="00E16168" w:rsidRPr="004B5D58">
        <w:rPr>
          <w:rFonts w:eastAsia="Calibri"/>
          <w:szCs w:val="22"/>
        </w:rPr>
        <w:t>to follow.</w:t>
      </w:r>
      <w:r w:rsidR="00D869E3">
        <w:rPr>
          <w:rFonts w:eastAsia="Calibri"/>
          <w:szCs w:val="22"/>
        </w:rPr>
        <w:t xml:space="preserve"> </w:t>
      </w:r>
      <w:r w:rsidR="00D869E3" w:rsidRPr="00D11AC3">
        <w:rPr>
          <w:rFonts w:eastAsia="Calibri"/>
          <w:b/>
          <w:bCs/>
          <w:szCs w:val="22"/>
        </w:rPr>
        <w:t>This recommendation does not suggest increasing overall quota level</w:t>
      </w:r>
      <w:r w:rsidR="00FF4237" w:rsidRPr="00D11AC3">
        <w:rPr>
          <w:rFonts w:eastAsia="Calibri"/>
          <w:b/>
          <w:bCs/>
          <w:szCs w:val="22"/>
        </w:rPr>
        <w:t xml:space="preserve">s, but rather greater balance and flexibility that responds to market conditions. </w:t>
      </w:r>
      <w:r w:rsidR="00436023">
        <w:rPr>
          <w:rFonts w:eastAsia="Calibri"/>
          <w:b/>
          <w:bCs/>
          <w:szCs w:val="22"/>
        </w:rPr>
        <w:t>If UK steel mills can prove their ability to produce the volume required</w:t>
      </w:r>
      <w:r w:rsidR="00D907E9">
        <w:rPr>
          <w:rFonts w:eastAsia="Calibri"/>
          <w:b/>
          <w:bCs/>
          <w:szCs w:val="22"/>
        </w:rPr>
        <w:t>, then this is the ideal solution; but without this downstream users must be able to import without additional tariff cost.</w:t>
      </w:r>
    </w:p>
    <w:p w14:paraId="35C6C70D" w14:textId="204DC47D" w:rsidR="00E16168" w:rsidRPr="004B5D58" w:rsidRDefault="00E16168" w:rsidP="00E16168">
      <w:pPr>
        <w:spacing w:after="160" w:line="259" w:lineRule="auto"/>
        <w:rPr>
          <w:rFonts w:eastAsia="Calibri"/>
          <w:szCs w:val="22"/>
        </w:rPr>
      </w:pPr>
      <w:r w:rsidRPr="004B5D58">
        <w:rPr>
          <w:rFonts w:eastAsia="Calibri"/>
          <w:szCs w:val="22"/>
        </w:rPr>
        <w:lastRenderedPageBreak/>
        <w:t>Th</w:t>
      </w:r>
      <w:r w:rsidR="0090286D">
        <w:rPr>
          <w:rFonts w:eastAsia="Calibri"/>
          <w:szCs w:val="22"/>
        </w:rPr>
        <w:t>e examples</w:t>
      </w:r>
      <w:r w:rsidRPr="004B5D58">
        <w:rPr>
          <w:rFonts w:eastAsia="Calibri"/>
          <w:szCs w:val="22"/>
        </w:rPr>
        <w:t xml:space="preserve"> reflect the nuanced difficulties across different steel grades, requiring a </w:t>
      </w:r>
      <w:r w:rsidRPr="004B5D58">
        <w:rPr>
          <w:rFonts w:eastAsia="Calibri"/>
          <w:b/>
          <w:bCs/>
          <w:szCs w:val="22"/>
        </w:rPr>
        <w:t>dedicated and flexible approach to safeguarding quotas that is led by industry need in proactive dialogue with government.</w:t>
      </w:r>
      <w:r w:rsidRPr="004B5D58">
        <w:rPr>
          <w:rFonts w:eastAsia="Calibri"/>
          <w:szCs w:val="22"/>
        </w:rPr>
        <w:t xml:space="preserve"> </w:t>
      </w:r>
    </w:p>
    <w:p w14:paraId="3DC3FBEA" w14:textId="53D50F58" w:rsidR="00696478" w:rsidRDefault="00E16168" w:rsidP="00696478">
      <w:pPr>
        <w:pStyle w:val="NoSpacing"/>
        <w:rPr>
          <w:rFonts w:eastAsia="Calibri"/>
        </w:rPr>
      </w:pPr>
      <w:r w:rsidRPr="004B5D58">
        <w:rPr>
          <w:rFonts w:eastAsia="Calibri"/>
        </w:rPr>
        <w:t xml:space="preserve">When quotas exhaust, the result of the current, post EU Exit system, is either </w:t>
      </w:r>
      <w:r w:rsidRPr="004B5D58">
        <w:rPr>
          <w:rFonts w:eastAsia="Calibri"/>
          <w:b/>
          <w:bCs/>
        </w:rPr>
        <w:t>price rises for the products using steel components, or a shortage in UK capability to produce them altogether</w:t>
      </w:r>
      <w:r w:rsidRPr="004B5D58">
        <w:rPr>
          <w:rFonts w:eastAsia="Calibri"/>
        </w:rPr>
        <w:t>. And by nature, the products listed are essential to the manufacture of everyday products and critical infrastructure. For example:</w:t>
      </w:r>
    </w:p>
    <w:p w14:paraId="2FBA8ABF" w14:textId="77777777" w:rsidR="00696478" w:rsidRPr="00696478" w:rsidRDefault="00696478" w:rsidP="00696478">
      <w:pPr>
        <w:pStyle w:val="NoSpacing"/>
        <w:rPr>
          <w:rFonts w:eastAsia="Calibri"/>
          <w:sz w:val="2"/>
          <w:szCs w:val="2"/>
        </w:rPr>
      </w:pPr>
    </w:p>
    <w:p w14:paraId="4F290721" w14:textId="498BC895" w:rsidR="00696478" w:rsidRDefault="00E16168" w:rsidP="00696478">
      <w:pPr>
        <w:pStyle w:val="NoSpacing"/>
        <w:numPr>
          <w:ilvl w:val="0"/>
          <w:numId w:val="22"/>
        </w:numPr>
        <w:rPr>
          <w:rFonts w:eastAsia="Calibri"/>
        </w:rPr>
      </w:pPr>
      <w:r w:rsidRPr="004048ED">
        <w:rPr>
          <w:rFonts w:eastAsia="Calibri"/>
        </w:rPr>
        <w:t>Metallic coated sheets are used for body and closure panels on cars and other vehicles</w:t>
      </w:r>
      <w:r w:rsidR="00DD44E3" w:rsidRPr="004048ED">
        <w:rPr>
          <w:rFonts w:eastAsia="Calibri"/>
        </w:rPr>
        <w:t xml:space="preserve">, as well as reinforcing </w:t>
      </w:r>
      <w:r w:rsidR="00FD3AE9" w:rsidRPr="004048ED">
        <w:rPr>
          <w:rFonts w:eastAsia="Calibri"/>
        </w:rPr>
        <w:t xml:space="preserve">structures for major infrastructure including on the rail network, warehouses and other large buildings. </w:t>
      </w:r>
    </w:p>
    <w:p w14:paraId="129AC75C" w14:textId="77777777" w:rsidR="00696478" w:rsidRPr="00696478" w:rsidRDefault="00696478" w:rsidP="00696478">
      <w:pPr>
        <w:pStyle w:val="NoSpacing"/>
        <w:ind w:left="720"/>
        <w:rPr>
          <w:rFonts w:eastAsia="Calibri"/>
          <w:sz w:val="20"/>
          <w:szCs w:val="22"/>
        </w:rPr>
      </w:pPr>
    </w:p>
    <w:p w14:paraId="156A620D" w14:textId="77777777" w:rsidR="007A130F" w:rsidRDefault="00E16168" w:rsidP="00E16168">
      <w:pPr>
        <w:spacing w:after="160" w:line="259" w:lineRule="auto"/>
        <w:rPr>
          <w:rFonts w:eastAsia="Calibri"/>
          <w:szCs w:val="22"/>
        </w:rPr>
      </w:pPr>
      <w:r w:rsidRPr="004B5D58">
        <w:rPr>
          <w:rFonts w:eastAsia="Calibri"/>
          <w:szCs w:val="22"/>
        </w:rPr>
        <w:t xml:space="preserve">Figure </w:t>
      </w:r>
      <w:r w:rsidR="003E65E9">
        <w:rPr>
          <w:rFonts w:eastAsia="Calibri"/>
          <w:szCs w:val="22"/>
        </w:rPr>
        <w:t xml:space="preserve">2 </w:t>
      </w:r>
      <w:r w:rsidRPr="004B5D58">
        <w:rPr>
          <w:rFonts w:eastAsia="Calibri"/>
          <w:szCs w:val="22"/>
        </w:rPr>
        <w:t>demonstrates the journey of a steel input from import to use in a final product. It demonstrates the differing scenario when quotas are applied compared to when they are not. This reflects the difficulties faced by SMEs currently, and the wider implications on the local and national economy in terms of product / project costs and delivery delays.</w:t>
      </w:r>
      <w:r w:rsidR="00696478">
        <w:rPr>
          <w:rFonts w:eastAsia="Calibri"/>
          <w:szCs w:val="22"/>
        </w:rPr>
        <w:t xml:space="preserve"> </w:t>
      </w:r>
    </w:p>
    <w:p w14:paraId="585B8FB3" w14:textId="02EE922C" w:rsidR="00E16168" w:rsidRPr="004B5D58" w:rsidRDefault="00E16168" w:rsidP="00E16168">
      <w:pPr>
        <w:spacing w:after="160" w:line="259" w:lineRule="auto"/>
        <w:rPr>
          <w:rFonts w:eastAsia="Calibri"/>
          <w:szCs w:val="22"/>
        </w:rPr>
      </w:pPr>
      <w:r w:rsidRPr="004B5D58">
        <w:rPr>
          <w:rFonts w:eastAsia="Calibri"/>
          <w:szCs w:val="22"/>
        </w:rPr>
        <w:t xml:space="preserve">Therefore, the quotas system, while clearly damaging individual supply chain firms, also adds a significant </w:t>
      </w:r>
      <w:r w:rsidRPr="004B5D58">
        <w:rPr>
          <w:rFonts w:eastAsia="Calibri"/>
          <w:b/>
          <w:bCs/>
          <w:szCs w:val="22"/>
        </w:rPr>
        <w:t xml:space="preserve">layer of risk and cost in the timely and productive delivery of manufacturing and construction projects. </w:t>
      </w:r>
      <w:r w:rsidRPr="004B5D58">
        <w:rPr>
          <w:rFonts w:eastAsia="Calibri"/>
          <w:szCs w:val="22"/>
        </w:rPr>
        <w:t xml:space="preserve">This is particularly pertinent in the West Midlands given the major infrastructure projects ongoing – for example for </w:t>
      </w:r>
      <w:r w:rsidRPr="004B5D58">
        <w:rPr>
          <w:rFonts w:eastAsia="Calibri"/>
          <w:b/>
          <w:bCs/>
          <w:szCs w:val="22"/>
        </w:rPr>
        <w:t>HS2 and the 2022 Birmingham Commonwealth Games</w:t>
      </w:r>
      <w:r w:rsidRPr="004B5D58">
        <w:rPr>
          <w:rFonts w:eastAsia="Calibri"/>
          <w:szCs w:val="22"/>
        </w:rPr>
        <w:t xml:space="preserve"> - while threatening wider government commitment to levelling-up. With the West Midlands’ industrial makeup, we will be disproportionately affected by these impacts, particularly threatening to the automotive, aerospace and construction sectors.</w:t>
      </w:r>
    </w:p>
    <w:p w14:paraId="4BA49F91" w14:textId="77777777" w:rsidR="00E16168" w:rsidRPr="00E16168" w:rsidRDefault="00E16168" w:rsidP="00E16168">
      <w:pPr>
        <w:spacing w:after="160" w:line="259" w:lineRule="auto"/>
        <w:rPr>
          <w:rFonts w:ascii="Calibri" w:eastAsia="Calibri" w:hAnsi="Calibri" w:cs="Times New Roman"/>
          <w:szCs w:val="22"/>
        </w:rPr>
        <w:sectPr w:rsidR="00E16168" w:rsidRPr="00E16168">
          <w:headerReference w:type="default" r:id="rId9"/>
          <w:footerReference w:type="default" r:id="rId10"/>
          <w:pgSz w:w="11906" w:h="16838"/>
          <w:pgMar w:top="1440" w:right="1440" w:bottom="1440" w:left="1440" w:header="708" w:footer="708" w:gutter="0"/>
          <w:cols w:space="708"/>
          <w:docGrid w:linePitch="360"/>
        </w:sectPr>
      </w:pPr>
    </w:p>
    <w:p w14:paraId="058A59D7" w14:textId="77777777" w:rsidR="00E16168" w:rsidRPr="00E16168" w:rsidRDefault="00E16168" w:rsidP="00E16168">
      <w:pPr>
        <w:spacing w:after="160" w:line="259" w:lineRule="auto"/>
        <w:rPr>
          <w:rFonts w:ascii="Calibri" w:eastAsia="Calibri" w:hAnsi="Calibri" w:cs="Times New Roman"/>
          <w:b/>
          <w:bCs/>
          <w:sz w:val="2"/>
          <w:szCs w:val="2"/>
        </w:rPr>
      </w:pPr>
    </w:p>
    <w:p w14:paraId="27A5509E" w14:textId="434D310D" w:rsidR="00E16168" w:rsidRPr="004B5D58" w:rsidRDefault="00E16168" w:rsidP="00E16168">
      <w:pPr>
        <w:spacing w:after="160" w:line="259" w:lineRule="auto"/>
        <w:jc w:val="center"/>
        <w:rPr>
          <w:rFonts w:eastAsia="Calibri"/>
          <w:b/>
          <w:bCs/>
          <w:sz w:val="28"/>
          <w:szCs w:val="28"/>
        </w:rPr>
      </w:pPr>
      <w:r w:rsidRPr="004B5D58">
        <w:rPr>
          <w:rFonts w:eastAsia="Calibri"/>
          <w:noProof/>
          <w:szCs w:val="22"/>
        </w:rPr>
        <w:drawing>
          <wp:anchor distT="0" distB="0" distL="114300" distR="114300" simplePos="0" relativeHeight="251674624" behindDoc="1" locked="0" layoutInCell="1" allowOverlap="1" wp14:anchorId="5C4C5747" wp14:editId="77BD3600">
            <wp:simplePos x="0" y="0"/>
            <wp:positionH relativeFrom="margin">
              <wp:posOffset>431376</wp:posOffset>
            </wp:positionH>
            <wp:positionV relativeFrom="paragraph">
              <wp:posOffset>245321</wp:posOffset>
            </wp:positionV>
            <wp:extent cx="8100695" cy="4413250"/>
            <wp:effectExtent l="0" t="0" r="0" b="6350"/>
            <wp:wrapTight wrapText="bothSides">
              <wp:wrapPolygon edited="0">
                <wp:start x="0" y="0"/>
                <wp:lineTo x="0" y="21538"/>
                <wp:lineTo x="21537" y="21538"/>
                <wp:lineTo x="215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00695" cy="4413250"/>
                    </a:xfrm>
                    <a:prstGeom prst="rect">
                      <a:avLst/>
                    </a:prstGeom>
                  </pic:spPr>
                </pic:pic>
              </a:graphicData>
            </a:graphic>
            <wp14:sizeRelH relativeFrom="page">
              <wp14:pctWidth>0</wp14:pctWidth>
            </wp14:sizeRelH>
            <wp14:sizeRelV relativeFrom="page">
              <wp14:pctHeight>0</wp14:pctHeight>
            </wp14:sizeRelV>
          </wp:anchor>
        </w:drawing>
      </w:r>
      <w:r w:rsidRPr="004B5D58">
        <w:rPr>
          <w:rFonts w:eastAsia="Calibri"/>
          <w:b/>
          <w:bCs/>
          <w:sz w:val="28"/>
          <w:szCs w:val="28"/>
        </w:rPr>
        <w:t xml:space="preserve">Figure </w:t>
      </w:r>
      <w:r w:rsidR="003E65E9">
        <w:rPr>
          <w:rFonts w:eastAsia="Calibri"/>
          <w:b/>
          <w:bCs/>
          <w:sz w:val="28"/>
          <w:szCs w:val="28"/>
        </w:rPr>
        <w:t>2</w:t>
      </w:r>
      <w:r w:rsidRPr="004B5D58">
        <w:rPr>
          <w:rFonts w:eastAsia="Calibri"/>
          <w:b/>
          <w:bCs/>
          <w:sz w:val="28"/>
          <w:szCs w:val="28"/>
        </w:rPr>
        <w:t>: Risks and Costs of Steel Safeguards: A Product Example</w:t>
      </w:r>
    </w:p>
    <w:p w14:paraId="0C128A21" w14:textId="77777777" w:rsidR="00E16168" w:rsidRPr="004B5D58" w:rsidRDefault="00E16168" w:rsidP="00E16168">
      <w:pPr>
        <w:spacing w:after="160" w:line="259" w:lineRule="auto"/>
        <w:rPr>
          <w:rFonts w:eastAsia="Calibri"/>
          <w:szCs w:val="22"/>
        </w:rPr>
      </w:pPr>
    </w:p>
    <w:p w14:paraId="3E49C777" w14:textId="77777777" w:rsidR="00E16168" w:rsidRPr="004B5D58" w:rsidRDefault="00E16168" w:rsidP="00E16168">
      <w:pPr>
        <w:spacing w:after="160" w:line="259" w:lineRule="auto"/>
        <w:rPr>
          <w:rFonts w:eastAsia="Calibri"/>
          <w:szCs w:val="22"/>
        </w:rPr>
      </w:pPr>
    </w:p>
    <w:p w14:paraId="2F75F1E7" w14:textId="77777777" w:rsidR="00E16168" w:rsidRPr="004B5D58" w:rsidRDefault="00E16168" w:rsidP="00E16168">
      <w:pPr>
        <w:spacing w:after="160" w:line="259" w:lineRule="auto"/>
        <w:rPr>
          <w:rFonts w:eastAsia="Calibri"/>
          <w:szCs w:val="22"/>
        </w:rPr>
      </w:pPr>
    </w:p>
    <w:p w14:paraId="5ACE044E" w14:textId="77777777" w:rsidR="00E16168" w:rsidRPr="004B5D58" w:rsidRDefault="00E16168" w:rsidP="00E16168">
      <w:pPr>
        <w:spacing w:after="160" w:line="259" w:lineRule="auto"/>
        <w:rPr>
          <w:rFonts w:eastAsia="Calibri"/>
          <w:szCs w:val="22"/>
        </w:rPr>
      </w:pPr>
    </w:p>
    <w:p w14:paraId="2C8818ED" w14:textId="77777777" w:rsidR="00E16168" w:rsidRPr="004B5D58" w:rsidRDefault="00E16168" w:rsidP="00E16168">
      <w:pPr>
        <w:spacing w:after="160" w:line="259" w:lineRule="auto"/>
        <w:rPr>
          <w:rFonts w:eastAsia="Calibri"/>
          <w:szCs w:val="22"/>
        </w:rPr>
      </w:pPr>
    </w:p>
    <w:p w14:paraId="7C3107D9" w14:textId="77777777" w:rsidR="00E16168" w:rsidRPr="004B5D58" w:rsidRDefault="00E16168" w:rsidP="00E16168">
      <w:pPr>
        <w:spacing w:after="160" w:line="259" w:lineRule="auto"/>
        <w:rPr>
          <w:rFonts w:eastAsia="Calibri"/>
          <w:szCs w:val="22"/>
        </w:rPr>
      </w:pPr>
    </w:p>
    <w:p w14:paraId="0007022D" w14:textId="77777777" w:rsidR="00E16168" w:rsidRPr="004B5D58" w:rsidRDefault="00E16168" w:rsidP="00E16168">
      <w:pPr>
        <w:spacing w:after="160" w:line="259" w:lineRule="auto"/>
        <w:rPr>
          <w:rFonts w:eastAsia="Calibri"/>
          <w:szCs w:val="22"/>
        </w:rPr>
      </w:pPr>
    </w:p>
    <w:p w14:paraId="27EB3305" w14:textId="77777777" w:rsidR="00E16168" w:rsidRPr="004B5D58" w:rsidRDefault="00E16168" w:rsidP="00E16168">
      <w:pPr>
        <w:spacing w:after="160" w:line="259" w:lineRule="auto"/>
        <w:rPr>
          <w:rFonts w:eastAsia="Calibri"/>
          <w:szCs w:val="22"/>
        </w:rPr>
      </w:pPr>
    </w:p>
    <w:p w14:paraId="051102EA" w14:textId="77777777" w:rsidR="00E16168" w:rsidRPr="004B5D58" w:rsidRDefault="00E16168" w:rsidP="00E16168">
      <w:pPr>
        <w:spacing w:after="160" w:line="259" w:lineRule="auto"/>
        <w:rPr>
          <w:rFonts w:eastAsia="Calibri"/>
          <w:szCs w:val="22"/>
        </w:rPr>
      </w:pPr>
    </w:p>
    <w:p w14:paraId="78A97FAE" w14:textId="77777777" w:rsidR="00E16168" w:rsidRPr="004B5D58" w:rsidRDefault="00E16168" w:rsidP="00E16168">
      <w:pPr>
        <w:spacing w:after="160" w:line="259" w:lineRule="auto"/>
        <w:rPr>
          <w:rFonts w:eastAsia="Calibri"/>
          <w:szCs w:val="22"/>
        </w:rPr>
      </w:pPr>
    </w:p>
    <w:p w14:paraId="19942AA7" w14:textId="77777777" w:rsidR="00E16168" w:rsidRPr="004B5D58" w:rsidRDefault="00E16168" w:rsidP="00E16168">
      <w:pPr>
        <w:spacing w:after="160" w:line="259" w:lineRule="auto"/>
        <w:rPr>
          <w:rFonts w:eastAsia="Calibri"/>
          <w:szCs w:val="22"/>
        </w:rPr>
      </w:pPr>
    </w:p>
    <w:p w14:paraId="643506A2" w14:textId="77777777" w:rsidR="00E16168" w:rsidRPr="004B5D58" w:rsidRDefault="00E16168" w:rsidP="00E16168">
      <w:pPr>
        <w:spacing w:after="160" w:line="259" w:lineRule="auto"/>
        <w:rPr>
          <w:rFonts w:eastAsia="Calibri"/>
          <w:szCs w:val="22"/>
        </w:rPr>
      </w:pPr>
    </w:p>
    <w:p w14:paraId="614C5702" w14:textId="77777777" w:rsidR="00E16168" w:rsidRPr="004B5D58" w:rsidRDefault="00E16168" w:rsidP="00E16168">
      <w:pPr>
        <w:spacing w:after="160" w:line="259" w:lineRule="auto"/>
        <w:rPr>
          <w:rFonts w:eastAsia="Calibri"/>
          <w:szCs w:val="22"/>
        </w:rPr>
      </w:pPr>
    </w:p>
    <w:p w14:paraId="48B2BF9E" w14:textId="77777777" w:rsidR="00E16168" w:rsidRPr="004B5D58" w:rsidRDefault="00E16168" w:rsidP="00E16168">
      <w:pPr>
        <w:spacing w:after="160" w:line="259" w:lineRule="auto"/>
        <w:rPr>
          <w:rFonts w:eastAsia="Calibri"/>
          <w:szCs w:val="22"/>
        </w:rPr>
      </w:pPr>
    </w:p>
    <w:p w14:paraId="0C6DECB7" w14:textId="77777777" w:rsidR="00E16168" w:rsidRPr="004B5D58" w:rsidRDefault="00E16168" w:rsidP="00E16168">
      <w:pPr>
        <w:spacing w:after="160" w:line="259" w:lineRule="auto"/>
        <w:rPr>
          <w:rFonts w:eastAsia="Calibri"/>
          <w:szCs w:val="22"/>
        </w:rPr>
      </w:pPr>
    </w:p>
    <w:p w14:paraId="701ED390" w14:textId="77777777" w:rsidR="00E16168" w:rsidRPr="004B5D58" w:rsidRDefault="00E16168" w:rsidP="00E16168">
      <w:pPr>
        <w:spacing w:after="160" w:line="259" w:lineRule="auto"/>
        <w:rPr>
          <w:rFonts w:eastAsia="Calibri"/>
          <w:szCs w:val="22"/>
        </w:rPr>
      </w:pPr>
    </w:p>
    <w:p w14:paraId="69A72628" w14:textId="77777777" w:rsidR="00E16168" w:rsidRPr="004B5D58" w:rsidRDefault="00E16168" w:rsidP="00E16168">
      <w:pPr>
        <w:spacing w:after="160" w:line="259" w:lineRule="auto"/>
        <w:rPr>
          <w:rFonts w:eastAsia="Calibri"/>
          <w:szCs w:val="22"/>
        </w:rPr>
      </w:pPr>
      <w:r w:rsidRPr="004B5D58">
        <w:rPr>
          <w:rFonts w:eastAsia="Calibri"/>
          <w:szCs w:val="22"/>
        </w:rPr>
        <w:t xml:space="preserve">Additionally, characteristics of steel and other metals / materials are extremely conducive to the circular economy and net-zero. Allowing a realistic level of importing would </w:t>
      </w:r>
      <w:r w:rsidRPr="004B5D58">
        <w:rPr>
          <w:rFonts w:eastAsia="Calibri"/>
          <w:b/>
          <w:bCs/>
          <w:szCs w:val="22"/>
        </w:rPr>
        <w:t>harness innovation in re-purposing, re-using and recycling of metals in order for the West Midlands and wider UK to become more self-sufficient in future.</w:t>
      </w:r>
      <w:r w:rsidRPr="004B5D58">
        <w:rPr>
          <w:rFonts w:eastAsia="Calibri"/>
          <w:szCs w:val="22"/>
        </w:rPr>
        <w:t xml:space="preserve"> In turn this can create jobs, opportunity and lead the green industrial revolution across the whole country. </w:t>
      </w:r>
    </w:p>
    <w:p w14:paraId="4C6FCDA2" w14:textId="77777777" w:rsidR="00E16168" w:rsidRPr="004B5D58" w:rsidRDefault="00E16168" w:rsidP="00E16168">
      <w:pPr>
        <w:spacing w:after="160" w:line="259" w:lineRule="auto"/>
        <w:rPr>
          <w:rFonts w:eastAsia="Calibri"/>
          <w:szCs w:val="22"/>
        </w:rPr>
        <w:sectPr w:rsidR="00E16168" w:rsidRPr="004B5D58" w:rsidSect="00EF4C8E">
          <w:pgSz w:w="16838" w:h="11906" w:orient="landscape"/>
          <w:pgMar w:top="1440" w:right="1440" w:bottom="1440" w:left="1440" w:header="708" w:footer="708" w:gutter="0"/>
          <w:cols w:space="708"/>
          <w:docGrid w:linePitch="360"/>
        </w:sectPr>
      </w:pPr>
    </w:p>
    <w:p w14:paraId="7830986A" w14:textId="6B765027" w:rsidR="00E16168" w:rsidRPr="004B5D58" w:rsidRDefault="00E16168" w:rsidP="00E16168">
      <w:pPr>
        <w:spacing w:after="160" w:line="259" w:lineRule="auto"/>
        <w:rPr>
          <w:rFonts w:eastAsia="Calibri"/>
          <w:szCs w:val="22"/>
        </w:rPr>
      </w:pPr>
      <w:r w:rsidRPr="004B5D58">
        <w:rPr>
          <w:rFonts w:eastAsia="Calibri"/>
          <w:szCs w:val="22"/>
        </w:rPr>
        <w:lastRenderedPageBreak/>
        <w:t xml:space="preserve">This reflects a wider need for further public / private collaboration to transition the UK and West Midlands steel industry to technical, financial, and sustainable excellence. The government has </w:t>
      </w:r>
      <w:r w:rsidRPr="004B5D58">
        <w:rPr>
          <w:rFonts w:eastAsia="Calibri"/>
          <w:b/>
          <w:bCs/>
          <w:szCs w:val="22"/>
        </w:rPr>
        <w:t>increased its own estimates of the amount of steel it will need for its infrastructure investment plans over the next decade by more than 50%</w:t>
      </w:r>
      <w:r w:rsidRPr="004B5D58">
        <w:rPr>
          <w:rFonts w:eastAsia="Calibri"/>
          <w:szCs w:val="22"/>
        </w:rPr>
        <w:t>, with 7.6</w:t>
      </w:r>
      <w:r w:rsidR="00E76BD4">
        <w:rPr>
          <w:rFonts w:eastAsia="Calibri"/>
          <w:szCs w:val="22"/>
        </w:rPr>
        <w:t xml:space="preserve"> </w:t>
      </w:r>
      <w:r w:rsidRPr="004B5D58">
        <w:rPr>
          <w:rFonts w:eastAsia="Calibri"/>
          <w:szCs w:val="22"/>
        </w:rPr>
        <w:t>million tonnes of steel is needed for public infrastructure plans.</w:t>
      </w:r>
      <w:r w:rsidRPr="004B5D58">
        <w:rPr>
          <w:rFonts w:eastAsia="Calibri"/>
          <w:szCs w:val="22"/>
          <w:vertAlign w:val="superscript"/>
        </w:rPr>
        <w:footnoteReference w:id="13"/>
      </w:r>
      <w:r w:rsidRPr="004B5D58">
        <w:rPr>
          <w:rFonts w:eastAsia="Calibri"/>
          <w:szCs w:val="22"/>
        </w:rPr>
        <w:t xml:space="preserve"> </w:t>
      </w:r>
    </w:p>
    <w:p w14:paraId="2F9EA747" w14:textId="64E233D4" w:rsidR="00E72EEE" w:rsidRPr="004B5D58" w:rsidRDefault="00E72EEE" w:rsidP="00E16168">
      <w:pPr>
        <w:spacing w:after="160" w:line="259" w:lineRule="auto"/>
        <w:rPr>
          <w:rFonts w:eastAsia="Calibri"/>
          <w:szCs w:val="22"/>
        </w:rPr>
      </w:pPr>
      <w:r w:rsidRPr="00E72EEE">
        <w:rPr>
          <w:rFonts w:eastAsia="Calibri"/>
          <w:noProof/>
          <w:szCs w:val="22"/>
        </w:rPr>
        <mc:AlternateContent>
          <mc:Choice Requires="wps">
            <w:drawing>
              <wp:anchor distT="45720" distB="45720" distL="114300" distR="114300" simplePos="0" relativeHeight="251680768" behindDoc="0" locked="0" layoutInCell="1" allowOverlap="1" wp14:anchorId="0EA8711E" wp14:editId="185CE6EF">
                <wp:simplePos x="0" y="0"/>
                <wp:positionH relativeFrom="margin">
                  <wp:posOffset>-342900</wp:posOffset>
                </wp:positionH>
                <wp:positionV relativeFrom="paragraph">
                  <wp:posOffset>1482725</wp:posOffset>
                </wp:positionV>
                <wp:extent cx="6347460" cy="2222500"/>
                <wp:effectExtent l="0" t="0" r="1524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222500"/>
                        </a:xfrm>
                        <a:prstGeom prst="rect">
                          <a:avLst/>
                        </a:prstGeom>
                        <a:solidFill>
                          <a:srgbClr val="DA0000"/>
                        </a:solidFill>
                        <a:ln>
                          <a:headEnd/>
                          <a:tailEnd/>
                        </a:ln>
                      </wps:spPr>
                      <wps:style>
                        <a:lnRef idx="3">
                          <a:schemeClr val="lt1"/>
                        </a:lnRef>
                        <a:fillRef idx="1">
                          <a:schemeClr val="accent1"/>
                        </a:fillRef>
                        <a:effectRef idx="1">
                          <a:schemeClr val="accent1"/>
                        </a:effectRef>
                        <a:fontRef idx="minor">
                          <a:schemeClr val="lt1"/>
                        </a:fontRef>
                      </wps:style>
                      <wps:txbx>
                        <w:txbxContent>
                          <w:p w14:paraId="02C14974" w14:textId="59F8A57F" w:rsidR="00B258DF" w:rsidRDefault="00E72EEE" w:rsidP="00B258DF">
                            <w:pPr>
                              <w:pStyle w:val="ListParagraph"/>
                              <w:numPr>
                                <w:ilvl w:val="0"/>
                                <w:numId w:val="12"/>
                              </w:numPr>
                              <w:rPr>
                                <w:rFonts w:ascii="Arial" w:eastAsia="Calibri" w:hAnsi="Arial" w:cs="Arial"/>
                                <w:b/>
                                <w:bCs/>
                              </w:rPr>
                            </w:pPr>
                            <w:r w:rsidRPr="00FC34CF">
                              <w:rPr>
                                <w:rFonts w:ascii="Arial" w:eastAsia="Calibri" w:hAnsi="Arial" w:cs="Arial"/>
                                <w:b/>
                                <w:bCs/>
                              </w:rPr>
                              <w:t>System-wide</w:t>
                            </w:r>
                            <w:r>
                              <w:rPr>
                                <w:rFonts w:ascii="Arial" w:eastAsia="Calibri" w:hAnsi="Arial" w:cs="Arial"/>
                                <w:b/>
                                <w:bCs/>
                              </w:rPr>
                              <w:t xml:space="preserve"> Change to Support Greater Flexibilities, Efficiencies and Management of Safeguarding Measures to the Benefit of All Industry</w:t>
                            </w:r>
                          </w:p>
                          <w:p w14:paraId="32F1E316" w14:textId="77777777" w:rsidR="00B258DF" w:rsidRPr="00B258DF" w:rsidRDefault="00B258DF" w:rsidP="00B258DF">
                            <w:pPr>
                              <w:pStyle w:val="ListParagraph"/>
                              <w:rPr>
                                <w:rFonts w:ascii="Arial" w:eastAsia="Calibri" w:hAnsi="Arial" w:cs="Arial"/>
                                <w:b/>
                                <w:bCs/>
                                <w:sz w:val="8"/>
                                <w:szCs w:val="8"/>
                              </w:rPr>
                            </w:pPr>
                          </w:p>
                          <w:p w14:paraId="3968E091" w14:textId="71A0BB1B" w:rsidR="00B258DF" w:rsidRDefault="00B258DF" w:rsidP="00B258DF">
                            <w:pPr>
                              <w:rPr>
                                <w:rFonts w:eastAsia="Calibri"/>
                                <w:b/>
                                <w:bCs/>
                              </w:rPr>
                            </w:pPr>
                            <w:r>
                              <w:rPr>
                                <w:rFonts w:eastAsia="Calibri"/>
                                <w:b/>
                                <w:bCs/>
                              </w:rPr>
                              <w:t>IMPLEMENT CHANGE</w:t>
                            </w:r>
                          </w:p>
                          <w:p w14:paraId="3E36DE3D" w14:textId="77777777" w:rsidR="00B258DF" w:rsidRPr="00B258DF" w:rsidRDefault="00B258DF" w:rsidP="00B258DF">
                            <w:pPr>
                              <w:rPr>
                                <w:rFonts w:eastAsia="Calibri"/>
                                <w:b/>
                                <w:bCs/>
                                <w:sz w:val="8"/>
                                <w:szCs w:val="8"/>
                              </w:rPr>
                            </w:pPr>
                          </w:p>
                          <w:p w14:paraId="25589EB8" w14:textId="77777777" w:rsidR="00E72EEE" w:rsidRPr="00C82124" w:rsidRDefault="00E72EEE" w:rsidP="00E72EEE">
                            <w:pPr>
                              <w:pStyle w:val="ListParagraph"/>
                              <w:numPr>
                                <w:ilvl w:val="0"/>
                                <w:numId w:val="16"/>
                              </w:numPr>
                              <w:rPr>
                                <w:rFonts w:ascii="Arial" w:eastAsia="Calibri" w:hAnsi="Arial" w:cs="Arial"/>
                              </w:rPr>
                            </w:pPr>
                            <w:r>
                              <w:rPr>
                                <w:rFonts w:ascii="Arial" w:eastAsia="Calibri" w:hAnsi="Arial" w:cs="Arial"/>
                              </w:rPr>
                              <w:t xml:space="preserve">We suggest the creation of a </w:t>
                            </w:r>
                            <w:r w:rsidRPr="00C82124">
                              <w:rPr>
                                <w:rFonts w:ascii="Arial" w:eastAsia="Calibri" w:hAnsi="Arial" w:cs="Arial"/>
                              </w:rPr>
                              <w:t>a more proactive dialogue between government and business on the issue and potential solutions, setting up an immediate, dedicated taskforce that acknowledges the urgency of the situation and develops solutions for industry.</w:t>
                            </w:r>
                          </w:p>
                          <w:p w14:paraId="53CDBBAE" w14:textId="77777777" w:rsidR="00E72EEE" w:rsidRPr="00DD331E" w:rsidRDefault="00E72EEE" w:rsidP="00E72EEE">
                            <w:pPr>
                              <w:pStyle w:val="ListParagraph"/>
                              <w:numPr>
                                <w:ilvl w:val="0"/>
                                <w:numId w:val="16"/>
                              </w:numPr>
                              <w:rPr>
                                <w:rFonts w:ascii="Arial" w:eastAsia="Calibri" w:hAnsi="Arial" w:cs="Arial"/>
                              </w:rPr>
                            </w:pPr>
                            <w:r>
                              <w:rPr>
                                <w:rFonts w:ascii="Arial" w:eastAsia="Calibri" w:hAnsi="Arial" w:cs="Arial"/>
                              </w:rPr>
                              <w:t>The development of a</w:t>
                            </w:r>
                            <w:r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7DE4BF94" w14:textId="6950D48B" w:rsidR="00E72EEE" w:rsidRPr="00E72EEE" w:rsidRDefault="00E72EEE" w:rsidP="00E72EEE">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8711E" id="_x0000_s1027" type="#_x0000_t202" style="position:absolute;margin-left:-27pt;margin-top:116.75pt;width:499.8pt;height:1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n4VAIAAPgEAAAOAAAAZHJzL2Uyb0RvYy54bWysVNuO0zAQfUfiHyy/0/S2uxA1XZWWRUjL&#10;RezyAY5jNxaOx9huk/L1jJ00lEVCApGHyPbMOZ4zF69uu0aTo3BegSnobDKlRBgOlTL7gn55vHvx&#10;khIfmKmYBiMKehKe3q6fP1u1NhdzqEFXwhEkMT5vbUHrEGyeZZ7XomF+AlYYNEpwDQu4dfuscqxF&#10;9kZn8+n0OmvBVdYBF97j6a430nXil1Lw8FFKLwLRBcXYQvq79C/jP1uvWL53zNaKD2Gwf4iiYcrg&#10;pSPVjgVGDk79RtUo7sCDDBMOTQZSKi6SBlQzmz5R81AzK5IWTI63Y5r8/6PlH46fHFEV1m5BiWEN&#10;1uhRdIG8ho7MY3pa63P0erDoFzo8Rtck1dt74F89MbCtmdmLjXPQ1oJVGN4sIrMLaM/jI0nZvocK&#10;r2GHAImok66JucNsEGTHMp3G0sRQOB5eL5Y3y2s0cbTN8buapuJlLD/DrfPhrYCGxEVBHdY+0bPj&#10;vQ8xHJafXeJtHrSq7pTWaeP25VY7cmTYJ7vNFL+k4ImbNtE5anxjqtQ6gSndr5E+mpPoqHNQHE5a&#10;RJA2n4XERKOWRZ++2OJivFSHPmeDZ4RIDG4EDTn/FcQ4F2YEDv4RKlLr/w14RKSbwYQR3CgD7s8h&#10;y97/rL7XHKsfurLru+vcSiVUJ2wCB/0o4tOBixrcd0paHMOC+m8H5gQl+p3BRno1Wy7j3KbN8upm&#10;jht3aSkvLcxwpCpooKRfbkOa9ajJwAYbTqrUCjG2PpIhZhyv1CHDUxDn93KfvH4+WOsfAAAA//8D&#10;AFBLAwQUAAYACAAAACEAp4vfFeAAAAALAQAADwAAAGRycy9kb3ducmV2LnhtbEyPQU+DQBCF7yb+&#10;h82YeGsXS8FKGRo18YInWy69bdkRSNldwi4t/nvHkz2+eS9vvpfvZtOLC42+cxbhaRmBIFs73dkG&#10;oTp8LDYgfFBWq95ZQvghD7vi/i5XmXZX+0WXfWgEl1ifKYQ2hCGT0tctGeWXbiDL3rcbjQosx0bq&#10;UV253PRyFUWpNKqz/KFVA723VJ/3k0GYyrScqTtUx7h6PkbxmH6+yRLx8WF+3YIINIf/MPzhMzoU&#10;zHRyk9Ve9AiLZM1bAsIqjhMQnHhZJymIE0Ky4Ysscnm7ofgFAAD//wMAUEsBAi0AFAAGAAgAAAAh&#10;ALaDOJL+AAAA4QEAABMAAAAAAAAAAAAAAAAAAAAAAFtDb250ZW50X1R5cGVzXS54bWxQSwECLQAU&#10;AAYACAAAACEAOP0h/9YAAACUAQAACwAAAAAAAAAAAAAAAAAvAQAAX3JlbHMvLnJlbHNQSwECLQAU&#10;AAYACAAAACEAZZw5+FQCAAD4BAAADgAAAAAAAAAAAAAAAAAuAgAAZHJzL2Uyb0RvYy54bWxQSwEC&#10;LQAUAAYACAAAACEAp4vfFeAAAAALAQAADwAAAAAAAAAAAAAAAACuBAAAZHJzL2Rvd25yZXYueG1s&#10;UEsFBgAAAAAEAAQA8wAAALsFAAAAAA==&#10;" fillcolor="#da0000" strokecolor="white [3201]" strokeweight="1.5pt">
                <v:textbox>
                  <w:txbxContent>
                    <w:p w14:paraId="02C14974" w14:textId="59F8A57F" w:rsidR="00B258DF" w:rsidRDefault="00E72EEE" w:rsidP="00B258DF">
                      <w:pPr>
                        <w:pStyle w:val="ListParagraph"/>
                        <w:numPr>
                          <w:ilvl w:val="0"/>
                          <w:numId w:val="12"/>
                        </w:numPr>
                        <w:rPr>
                          <w:rFonts w:ascii="Arial" w:eastAsia="Calibri" w:hAnsi="Arial" w:cs="Arial"/>
                          <w:b/>
                          <w:bCs/>
                        </w:rPr>
                      </w:pPr>
                      <w:r w:rsidRPr="00FC34CF">
                        <w:rPr>
                          <w:rFonts w:ascii="Arial" w:eastAsia="Calibri" w:hAnsi="Arial" w:cs="Arial"/>
                          <w:b/>
                          <w:bCs/>
                        </w:rPr>
                        <w:t>System-wide</w:t>
                      </w:r>
                      <w:r>
                        <w:rPr>
                          <w:rFonts w:ascii="Arial" w:eastAsia="Calibri" w:hAnsi="Arial" w:cs="Arial"/>
                          <w:b/>
                          <w:bCs/>
                        </w:rPr>
                        <w:t xml:space="preserve"> Change to Support Greater Flexibilities, Efficiencies and Management of Safeguarding Measures to the Benefit of All Industry</w:t>
                      </w:r>
                    </w:p>
                    <w:p w14:paraId="32F1E316" w14:textId="77777777" w:rsidR="00B258DF" w:rsidRPr="00B258DF" w:rsidRDefault="00B258DF" w:rsidP="00B258DF">
                      <w:pPr>
                        <w:pStyle w:val="ListParagraph"/>
                        <w:rPr>
                          <w:rFonts w:ascii="Arial" w:eastAsia="Calibri" w:hAnsi="Arial" w:cs="Arial"/>
                          <w:b/>
                          <w:bCs/>
                          <w:sz w:val="8"/>
                          <w:szCs w:val="8"/>
                        </w:rPr>
                      </w:pPr>
                    </w:p>
                    <w:p w14:paraId="3968E091" w14:textId="71A0BB1B" w:rsidR="00B258DF" w:rsidRDefault="00B258DF" w:rsidP="00B258DF">
                      <w:pPr>
                        <w:rPr>
                          <w:rFonts w:eastAsia="Calibri"/>
                          <w:b/>
                          <w:bCs/>
                        </w:rPr>
                      </w:pPr>
                      <w:r>
                        <w:rPr>
                          <w:rFonts w:eastAsia="Calibri"/>
                          <w:b/>
                          <w:bCs/>
                        </w:rPr>
                        <w:t>IMPLEMENT CHANGE</w:t>
                      </w:r>
                    </w:p>
                    <w:p w14:paraId="3E36DE3D" w14:textId="77777777" w:rsidR="00B258DF" w:rsidRPr="00B258DF" w:rsidRDefault="00B258DF" w:rsidP="00B258DF">
                      <w:pPr>
                        <w:rPr>
                          <w:rFonts w:eastAsia="Calibri"/>
                          <w:b/>
                          <w:bCs/>
                          <w:sz w:val="8"/>
                          <w:szCs w:val="8"/>
                        </w:rPr>
                      </w:pPr>
                    </w:p>
                    <w:p w14:paraId="25589EB8" w14:textId="77777777" w:rsidR="00E72EEE" w:rsidRPr="00C82124" w:rsidRDefault="00E72EEE" w:rsidP="00E72EEE">
                      <w:pPr>
                        <w:pStyle w:val="ListParagraph"/>
                        <w:numPr>
                          <w:ilvl w:val="0"/>
                          <w:numId w:val="16"/>
                        </w:numPr>
                        <w:rPr>
                          <w:rFonts w:ascii="Arial" w:eastAsia="Calibri" w:hAnsi="Arial" w:cs="Arial"/>
                        </w:rPr>
                      </w:pPr>
                      <w:r>
                        <w:rPr>
                          <w:rFonts w:ascii="Arial" w:eastAsia="Calibri" w:hAnsi="Arial" w:cs="Arial"/>
                        </w:rPr>
                        <w:t xml:space="preserve">We suggest the creation of a </w:t>
                      </w:r>
                      <w:r w:rsidRPr="00C82124">
                        <w:rPr>
                          <w:rFonts w:ascii="Arial" w:eastAsia="Calibri" w:hAnsi="Arial" w:cs="Arial"/>
                        </w:rPr>
                        <w:t>a more proactive dialogue between government and business on the issue and potential solutions, setting up an immediate, dedicated taskforce that acknowledges the urgency of the situation and develops solutions for industry.</w:t>
                      </w:r>
                    </w:p>
                    <w:p w14:paraId="53CDBBAE" w14:textId="77777777" w:rsidR="00E72EEE" w:rsidRPr="00DD331E" w:rsidRDefault="00E72EEE" w:rsidP="00E72EEE">
                      <w:pPr>
                        <w:pStyle w:val="ListParagraph"/>
                        <w:numPr>
                          <w:ilvl w:val="0"/>
                          <w:numId w:val="16"/>
                        </w:numPr>
                        <w:rPr>
                          <w:rFonts w:ascii="Arial" w:eastAsia="Calibri" w:hAnsi="Arial" w:cs="Arial"/>
                        </w:rPr>
                      </w:pPr>
                      <w:r>
                        <w:rPr>
                          <w:rFonts w:ascii="Arial" w:eastAsia="Calibri" w:hAnsi="Arial" w:cs="Arial"/>
                        </w:rPr>
                        <w:t>The development of a</w:t>
                      </w:r>
                      <w:r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7DE4BF94" w14:textId="6950D48B" w:rsidR="00E72EEE" w:rsidRPr="00E72EEE" w:rsidRDefault="00E72EEE" w:rsidP="00E72EEE">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txbxContent>
                </v:textbox>
                <w10:wrap type="square" anchorx="margin"/>
              </v:shape>
            </w:pict>
          </mc:Fallback>
        </mc:AlternateContent>
      </w:r>
      <w:r w:rsidR="00E16168" w:rsidRPr="004B5D58">
        <w:rPr>
          <w:rFonts w:eastAsia="Calibri"/>
          <w:szCs w:val="22"/>
        </w:rPr>
        <w:t xml:space="preserve">We are keen to understand and </w:t>
      </w:r>
      <w:r w:rsidR="00E16168" w:rsidRPr="004B5D58">
        <w:rPr>
          <w:rFonts w:eastAsia="Calibri"/>
          <w:b/>
          <w:bCs/>
          <w:szCs w:val="22"/>
        </w:rPr>
        <w:t>work collaboratively with government on how the UK can meet current and future steel needs of increased public infrastructure spending</w:t>
      </w:r>
      <w:r w:rsidR="00E16168" w:rsidRPr="004B5D58">
        <w:rPr>
          <w:rFonts w:eastAsia="Calibri"/>
          <w:szCs w:val="22"/>
        </w:rPr>
        <w:t xml:space="preserve">, without breaching quotas and incurring tariff costs. This should be in active partnership with, rather than against, UK steel producers and UK Steel – to the benefit of all parties. </w:t>
      </w:r>
      <w:r w:rsidR="00E16168" w:rsidRPr="004B5D58">
        <w:rPr>
          <w:rFonts w:eastAsia="Calibri"/>
          <w:b/>
          <w:bCs/>
          <w:szCs w:val="22"/>
        </w:rPr>
        <w:t>We suggest all parties work together to collaborate on a UK steel “supply plan”</w:t>
      </w:r>
      <w:r w:rsidR="00E16168" w:rsidRPr="004B5D58">
        <w:rPr>
          <w:rFonts w:eastAsia="Calibri"/>
          <w:szCs w:val="22"/>
        </w:rPr>
        <w:t xml:space="preserve"> that matches the supply and demand for steel in line with the government’s infrastructure, ensuring the UK can be self-sufficient in its delivery of projects – eliciting wider levelling-up and inclusive growth benefits.  </w:t>
      </w:r>
    </w:p>
    <w:p w14:paraId="3BA433BE" w14:textId="77777777" w:rsidR="00B22C4A" w:rsidRPr="00C5277E" w:rsidRDefault="00B22C4A" w:rsidP="00E16168">
      <w:pPr>
        <w:spacing w:after="160" w:line="259" w:lineRule="auto"/>
        <w:rPr>
          <w:rFonts w:eastAsia="Calibri"/>
          <w:b/>
          <w:bCs/>
          <w:sz w:val="4"/>
          <w:szCs w:val="4"/>
        </w:rPr>
      </w:pPr>
    </w:p>
    <w:p w14:paraId="62D6DDC7" w14:textId="54EDA372" w:rsidR="00E16168" w:rsidRPr="00235736" w:rsidRDefault="00E72EEE" w:rsidP="00E16168">
      <w:pPr>
        <w:spacing w:after="160" w:line="259" w:lineRule="auto"/>
        <w:rPr>
          <w:rFonts w:eastAsia="Calibri"/>
          <w:b/>
          <w:bCs/>
          <w:sz w:val="24"/>
        </w:rPr>
      </w:pPr>
      <w:r w:rsidRPr="00235736">
        <w:rPr>
          <w:rFonts w:eastAsia="Calibri"/>
          <w:b/>
          <w:bCs/>
          <w:sz w:val="24"/>
        </w:rPr>
        <w:t>Impact and Conclusion</w:t>
      </w:r>
    </w:p>
    <w:p w14:paraId="6807108E" w14:textId="0431C270" w:rsidR="00E16168" w:rsidRPr="004B5D58" w:rsidRDefault="00E76BD4" w:rsidP="00E16168">
      <w:pPr>
        <w:spacing w:after="160" w:line="259" w:lineRule="auto"/>
        <w:rPr>
          <w:rFonts w:eastAsia="Calibri"/>
          <w:b/>
          <w:bCs/>
          <w:szCs w:val="22"/>
        </w:rPr>
      </w:pPr>
      <w:r>
        <w:rPr>
          <w:rFonts w:eastAsia="Calibri"/>
          <w:szCs w:val="22"/>
        </w:rPr>
        <w:t>T</w:t>
      </w:r>
      <w:r w:rsidR="00E16168" w:rsidRPr="004B5D58">
        <w:rPr>
          <w:rFonts w:eastAsia="Calibri"/>
          <w:szCs w:val="22"/>
        </w:rPr>
        <w:t>he way</w:t>
      </w:r>
      <w:r>
        <w:rPr>
          <w:rFonts w:eastAsia="Calibri"/>
          <w:szCs w:val="22"/>
        </w:rPr>
        <w:t xml:space="preserve"> steel safeguarding measures are</w:t>
      </w:r>
      <w:r w:rsidR="00E16168" w:rsidRPr="004B5D58">
        <w:rPr>
          <w:rFonts w:eastAsia="Calibri"/>
          <w:szCs w:val="22"/>
        </w:rPr>
        <w:t xml:space="preserve"> currently organised is </w:t>
      </w:r>
      <w:r w:rsidR="00E16168" w:rsidRPr="004B5D58">
        <w:rPr>
          <w:rFonts w:eastAsia="Calibri"/>
          <w:b/>
          <w:bCs/>
          <w:szCs w:val="22"/>
        </w:rPr>
        <w:t>damaging to many downstream SMEs who import material</w:t>
      </w:r>
      <w:r w:rsidR="00E16168" w:rsidRPr="004B5D58">
        <w:rPr>
          <w:rFonts w:eastAsia="Calibri"/>
          <w:szCs w:val="22"/>
        </w:rPr>
        <w:t xml:space="preserve"> - where they cannot source it from the UK, with consequential impacts on the wider West Midlands and UK economy. Based on historic data, safeguarding measures simply </w:t>
      </w:r>
      <w:r w:rsidR="00E16168" w:rsidRPr="004B5D58">
        <w:rPr>
          <w:rFonts w:eastAsia="Calibri"/>
          <w:b/>
          <w:bCs/>
          <w:szCs w:val="22"/>
        </w:rPr>
        <w:t xml:space="preserve">cannot be accurately tuned to current dynamic market conditions, as evidenced by the live situation </w:t>
      </w:r>
      <w:r w:rsidR="00982574">
        <w:rPr>
          <w:rFonts w:eastAsia="Calibri"/>
          <w:b/>
          <w:bCs/>
          <w:szCs w:val="22"/>
        </w:rPr>
        <w:t>of</w:t>
      </w:r>
      <w:r w:rsidR="00776177">
        <w:rPr>
          <w:rFonts w:eastAsia="Calibri"/>
          <w:b/>
          <w:bCs/>
          <w:szCs w:val="22"/>
        </w:rPr>
        <w:t xml:space="preserve"> Category 4 grades</w:t>
      </w:r>
      <w:r w:rsidR="00E16168" w:rsidRPr="004B5D58">
        <w:rPr>
          <w:rFonts w:eastAsia="Calibri"/>
          <w:b/>
          <w:bCs/>
          <w:szCs w:val="22"/>
        </w:rPr>
        <w:t xml:space="preserve">. </w:t>
      </w:r>
      <w:r w:rsidR="00E16168" w:rsidRPr="004B5D58">
        <w:rPr>
          <w:rFonts w:eastAsia="Calibri"/>
          <w:szCs w:val="22"/>
        </w:rPr>
        <w:t xml:space="preserve">Further cost and risk could not come at a worse time for metals and materials SMEs. The global market is witnessing demand outstrip supply, resulting in </w:t>
      </w:r>
      <w:r w:rsidR="00E16168" w:rsidRPr="004B5D58">
        <w:rPr>
          <w:rFonts w:eastAsia="Calibri"/>
          <w:b/>
          <w:bCs/>
          <w:szCs w:val="22"/>
        </w:rPr>
        <w:t>radically extended lead-times, product shortages and extreme cost inflation across all steel grades and raw materials.</w:t>
      </w:r>
      <w:r w:rsidR="00E16168" w:rsidRPr="004B5D58">
        <w:rPr>
          <w:rFonts w:eastAsia="Calibri"/>
          <w:szCs w:val="22"/>
        </w:rPr>
        <w:t xml:space="preserve"> More locally, the collapse of Liberty Steel has limited the production of steel in the UK, increasing the demand for imports. </w:t>
      </w:r>
    </w:p>
    <w:p w14:paraId="7212FBB0" w14:textId="7811C6A5" w:rsidR="00E16168" w:rsidRPr="004B5D58" w:rsidRDefault="00E16168" w:rsidP="00E16168">
      <w:pPr>
        <w:spacing w:after="160" w:line="259" w:lineRule="auto"/>
        <w:rPr>
          <w:rFonts w:eastAsia="Calibri"/>
          <w:szCs w:val="22"/>
        </w:rPr>
      </w:pPr>
      <w:r w:rsidRPr="004B5D58">
        <w:rPr>
          <w:rFonts w:eastAsia="Calibri"/>
          <w:szCs w:val="22"/>
        </w:rPr>
        <w:t xml:space="preserve">The existence of import safeguards therefore </w:t>
      </w:r>
      <w:r w:rsidRPr="004B5D58">
        <w:rPr>
          <w:rFonts w:eastAsia="Calibri"/>
          <w:b/>
          <w:bCs/>
          <w:szCs w:val="22"/>
        </w:rPr>
        <w:t>adds an extra, unnecessary burden onto industry,</w:t>
      </w:r>
      <w:r w:rsidRPr="004B5D58">
        <w:rPr>
          <w:rFonts w:eastAsia="Calibri"/>
          <w:szCs w:val="22"/>
        </w:rPr>
        <w:t xml:space="preserve"> particularly damaging supply chain SMEs, at a time when the import of such goods is particularly necessary. This is demonstrated in Figure </w:t>
      </w:r>
      <w:r w:rsidR="008C3DBC">
        <w:rPr>
          <w:rFonts w:eastAsia="Calibri"/>
          <w:szCs w:val="22"/>
        </w:rPr>
        <w:t>3</w:t>
      </w:r>
      <w:r w:rsidRPr="004B5D58">
        <w:rPr>
          <w:rFonts w:eastAsia="Calibri"/>
          <w:szCs w:val="22"/>
        </w:rPr>
        <w:t xml:space="preserve"> on the </w:t>
      </w:r>
      <w:r w:rsidR="00344F3B">
        <w:rPr>
          <w:rFonts w:eastAsia="Calibri"/>
          <w:szCs w:val="22"/>
        </w:rPr>
        <w:t>page 12</w:t>
      </w:r>
      <w:r w:rsidRPr="004B5D58">
        <w:rPr>
          <w:rFonts w:eastAsia="Calibri"/>
          <w:szCs w:val="22"/>
        </w:rPr>
        <w:t xml:space="preserve">, reflecting that policy decisions in the hand of UK government are exacerbating the impact of market forces, rather than softening them. </w:t>
      </w:r>
    </w:p>
    <w:p w14:paraId="0F693230" w14:textId="7CA99A72" w:rsidR="00055304" w:rsidRPr="004B5D58" w:rsidRDefault="00E16168" w:rsidP="00E16168">
      <w:pPr>
        <w:spacing w:after="160" w:line="259" w:lineRule="auto"/>
        <w:rPr>
          <w:rFonts w:eastAsia="Calibri"/>
          <w:szCs w:val="22"/>
        </w:rPr>
      </w:pPr>
      <w:r w:rsidRPr="004B5D58">
        <w:rPr>
          <w:rFonts w:eastAsia="Calibri"/>
          <w:szCs w:val="22"/>
        </w:rPr>
        <w:t xml:space="preserve">The </w:t>
      </w:r>
      <w:r w:rsidR="00776177">
        <w:rPr>
          <w:rFonts w:eastAsia="Calibri"/>
          <w:szCs w:val="22"/>
        </w:rPr>
        <w:t>e</w:t>
      </w:r>
      <w:r w:rsidRPr="004B5D58">
        <w:rPr>
          <w:rFonts w:eastAsia="Calibri"/>
          <w:szCs w:val="22"/>
        </w:rPr>
        <w:t xml:space="preserve">ffects are disproportionate to the West Midlands given the significant presence of the metals and materials industry locally: the </w:t>
      </w:r>
      <w:r w:rsidRPr="004B5D58">
        <w:rPr>
          <w:rFonts w:eastAsia="Calibri"/>
          <w:b/>
          <w:bCs/>
          <w:szCs w:val="22"/>
        </w:rPr>
        <w:t xml:space="preserve">industry employs </w:t>
      </w:r>
      <w:r w:rsidRPr="004B5D58">
        <w:rPr>
          <w:rFonts w:eastAsia="Calibri"/>
          <w:b/>
          <w:bCs/>
          <w:szCs w:val="22"/>
          <w:u w:val="single"/>
        </w:rPr>
        <w:t>67,250</w:t>
      </w:r>
      <w:r w:rsidRPr="004B5D58">
        <w:rPr>
          <w:rFonts w:eastAsia="Calibri"/>
          <w:b/>
          <w:bCs/>
          <w:szCs w:val="22"/>
        </w:rPr>
        <w:t xml:space="preserve"> people across the </w:t>
      </w:r>
      <w:r w:rsidRPr="004B5D58">
        <w:rPr>
          <w:rFonts w:eastAsia="Calibri"/>
          <w:b/>
          <w:bCs/>
          <w:szCs w:val="22"/>
        </w:rPr>
        <w:lastRenderedPageBreak/>
        <w:t xml:space="preserve">three LEP geography, contributing </w:t>
      </w:r>
      <w:r w:rsidRPr="004B5D58">
        <w:rPr>
          <w:rFonts w:eastAsia="Calibri"/>
          <w:b/>
          <w:bCs/>
          <w:szCs w:val="22"/>
          <w:u w:val="single"/>
        </w:rPr>
        <w:t>£5.8bn</w:t>
      </w:r>
      <w:r w:rsidRPr="004B5D58">
        <w:rPr>
          <w:rFonts w:eastAsia="Calibri"/>
          <w:b/>
          <w:bCs/>
          <w:szCs w:val="22"/>
        </w:rPr>
        <w:t xml:space="preserve"> GVA from </w:t>
      </w:r>
      <w:r w:rsidRPr="004B5D58">
        <w:rPr>
          <w:rFonts w:eastAsia="Calibri"/>
          <w:b/>
          <w:bCs/>
          <w:szCs w:val="22"/>
          <w:u w:val="single"/>
        </w:rPr>
        <w:t>4,000</w:t>
      </w:r>
      <w:r w:rsidRPr="004B5D58">
        <w:rPr>
          <w:rFonts w:eastAsia="Calibri"/>
          <w:b/>
          <w:bCs/>
          <w:szCs w:val="22"/>
        </w:rPr>
        <w:t xml:space="preserve"> businesses</w:t>
      </w:r>
      <w:r w:rsidRPr="004B5D58">
        <w:rPr>
          <w:rFonts w:eastAsia="Calibri"/>
          <w:szCs w:val="22"/>
        </w:rPr>
        <w:t>.</w:t>
      </w:r>
      <w:r w:rsidRPr="004B5D58">
        <w:rPr>
          <w:rFonts w:eastAsia="Calibri"/>
          <w:szCs w:val="22"/>
          <w:vertAlign w:val="superscript"/>
        </w:rPr>
        <w:footnoteReference w:id="14"/>
      </w:r>
      <w:r w:rsidRPr="004B5D58">
        <w:rPr>
          <w:rFonts w:eastAsia="Calibri"/>
          <w:szCs w:val="22"/>
        </w:rPr>
        <w:t xml:space="preserve"> It is a unique cluster of strength dominated by SME suppliers.</w:t>
      </w:r>
      <w:r w:rsidRPr="004B5D58">
        <w:rPr>
          <w:rFonts w:eastAsia="Calibri"/>
          <w:szCs w:val="22"/>
          <w:vertAlign w:val="superscript"/>
        </w:rPr>
        <w:footnoteReference w:id="15"/>
      </w:r>
      <w:r w:rsidRPr="004B5D58">
        <w:rPr>
          <w:rFonts w:eastAsia="Calibri"/>
          <w:szCs w:val="22"/>
        </w:rPr>
        <w:t xml:space="preserve"> It is clear that quotas are not a small problem, with over </w:t>
      </w:r>
      <w:r w:rsidRPr="004B5D58">
        <w:rPr>
          <w:rFonts w:eastAsia="Calibri"/>
          <w:b/>
          <w:bCs/>
          <w:szCs w:val="22"/>
        </w:rPr>
        <w:t xml:space="preserve">300 companies across the West Midlands importing iron or steel, </w:t>
      </w:r>
      <w:r w:rsidR="00055304">
        <w:rPr>
          <w:rFonts w:eastAsia="Calibri"/>
          <w:b/>
          <w:bCs/>
          <w:szCs w:val="22"/>
        </w:rPr>
        <w:t>and 57 importing Cat 4</w:t>
      </w:r>
      <w:r w:rsidR="000A77EF">
        <w:rPr>
          <w:rFonts w:eastAsia="Calibri"/>
          <w:b/>
          <w:bCs/>
          <w:szCs w:val="22"/>
        </w:rPr>
        <w:t xml:space="preserve"> products alone</w:t>
      </w:r>
      <w:r w:rsidRPr="004B5D58">
        <w:rPr>
          <w:rFonts w:eastAsia="Calibri"/>
          <w:szCs w:val="22"/>
        </w:rPr>
        <w:t xml:space="preserve">. These companies </w:t>
      </w:r>
      <w:r w:rsidRPr="004B5D58">
        <w:rPr>
          <w:rFonts w:eastAsia="Calibri"/>
          <w:b/>
          <w:bCs/>
          <w:szCs w:val="22"/>
        </w:rPr>
        <w:t xml:space="preserve">employ </w:t>
      </w:r>
      <w:r w:rsidR="002427A4">
        <w:rPr>
          <w:rFonts w:eastAsia="Calibri"/>
          <w:b/>
          <w:bCs/>
          <w:szCs w:val="22"/>
        </w:rPr>
        <w:t>50,000</w:t>
      </w:r>
      <w:r w:rsidRPr="004B5D58">
        <w:rPr>
          <w:rFonts w:eastAsia="Calibri"/>
          <w:b/>
          <w:bCs/>
          <w:szCs w:val="22"/>
        </w:rPr>
        <w:t xml:space="preserve"> people across the region</w:t>
      </w:r>
      <w:r w:rsidRPr="004B5D58">
        <w:rPr>
          <w:rFonts w:eastAsia="Calibri"/>
          <w:szCs w:val="22"/>
        </w:rPr>
        <w:t xml:space="preserve">, reflecting the potential scale of the issue. </w:t>
      </w:r>
    </w:p>
    <w:p w14:paraId="27F33F8E" w14:textId="2DE7C5C2" w:rsidR="00E16168" w:rsidRPr="004B5D58" w:rsidRDefault="00E16168" w:rsidP="00E16168">
      <w:pPr>
        <w:spacing w:after="160" w:line="259" w:lineRule="auto"/>
        <w:jc w:val="center"/>
        <w:rPr>
          <w:rFonts w:eastAsia="Calibri"/>
          <w:szCs w:val="22"/>
        </w:rPr>
      </w:pPr>
      <w:r w:rsidRPr="004B5D58">
        <w:rPr>
          <w:rFonts w:eastAsia="Calibri"/>
          <w:b/>
          <w:bCs/>
          <w:szCs w:val="22"/>
        </w:rPr>
        <w:t xml:space="preserve">Table </w:t>
      </w:r>
      <w:r w:rsidR="00402DB3">
        <w:rPr>
          <w:rFonts w:eastAsia="Calibri"/>
          <w:b/>
          <w:bCs/>
          <w:szCs w:val="22"/>
        </w:rPr>
        <w:t>3</w:t>
      </w:r>
      <w:r w:rsidRPr="004B5D58">
        <w:rPr>
          <w:rFonts w:eastAsia="Calibri"/>
          <w:b/>
          <w:bCs/>
          <w:szCs w:val="22"/>
        </w:rPr>
        <w:t>: Number of Importing Businesses &amp; their Total Jobs</w:t>
      </w:r>
      <w:r w:rsidRPr="004B5D58">
        <w:rPr>
          <w:rFonts w:eastAsia="Calibri"/>
          <w:b/>
          <w:bCs/>
          <w:szCs w:val="22"/>
          <w:vertAlign w:val="superscript"/>
        </w:rPr>
        <w:footnoteReference w:id="16"/>
      </w:r>
    </w:p>
    <w:tbl>
      <w:tblPr>
        <w:tblStyle w:val="TableGrid"/>
        <w:tblW w:w="10887" w:type="dxa"/>
        <w:tblInd w:w="-998" w:type="dxa"/>
        <w:tblLook w:val="04A0" w:firstRow="1" w:lastRow="0" w:firstColumn="1" w:lastColumn="0" w:noHBand="0" w:noVBand="1"/>
      </w:tblPr>
      <w:tblGrid>
        <w:gridCol w:w="4040"/>
        <w:gridCol w:w="1611"/>
        <w:gridCol w:w="1357"/>
        <w:gridCol w:w="2412"/>
        <w:gridCol w:w="1467"/>
      </w:tblGrid>
      <w:tr w:rsidR="000A77EF" w:rsidRPr="004B5D58" w14:paraId="4E594C6E" w14:textId="77777777" w:rsidTr="000A77EF">
        <w:trPr>
          <w:trHeight w:val="191"/>
        </w:trPr>
        <w:tc>
          <w:tcPr>
            <w:tcW w:w="4040" w:type="dxa"/>
            <w:shd w:val="clear" w:color="auto" w:fill="B4C6E7"/>
            <w:noWrap/>
            <w:hideMark/>
          </w:tcPr>
          <w:p w14:paraId="39D9E661" w14:textId="77777777" w:rsidR="000A77EF" w:rsidRPr="004B5D58" w:rsidRDefault="000A77EF" w:rsidP="00E16168">
            <w:pPr>
              <w:tabs>
                <w:tab w:val="left" w:pos="1360"/>
              </w:tabs>
              <w:rPr>
                <w:b/>
                <w:bCs/>
                <w:szCs w:val="22"/>
              </w:rPr>
            </w:pPr>
            <w:r w:rsidRPr="004B5D58">
              <w:rPr>
                <w:b/>
                <w:bCs/>
                <w:szCs w:val="22"/>
              </w:rPr>
              <w:t>Area</w:t>
            </w:r>
          </w:p>
        </w:tc>
        <w:tc>
          <w:tcPr>
            <w:tcW w:w="1611" w:type="dxa"/>
            <w:shd w:val="clear" w:color="auto" w:fill="B4C6E7"/>
          </w:tcPr>
          <w:p w14:paraId="4BF47228" w14:textId="716F5B75" w:rsidR="000A77EF" w:rsidRPr="004B5D58" w:rsidRDefault="000A77EF" w:rsidP="00E16168">
            <w:pPr>
              <w:tabs>
                <w:tab w:val="left" w:pos="1360"/>
              </w:tabs>
              <w:rPr>
                <w:b/>
                <w:bCs/>
                <w:szCs w:val="22"/>
              </w:rPr>
            </w:pPr>
            <w:r>
              <w:rPr>
                <w:b/>
                <w:bCs/>
                <w:szCs w:val="22"/>
              </w:rPr>
              <w:t>Importers of Cat 4</w:t>
            </w:r>
          </w:p>
        </w:tc>
        <w:tc>
          <w:tcPr>
            <w:tcW w:w="1357" w:type="dxa"/>
            <w:shd w:val="clear" w:color="auto" w:fill="B4C6E7"/>
          </w:tcPr>
          <w:p w14:paraId="56406B31" w14:textId="0F09DB83" w:rsidR="000A77EF" w:rsidRPr="004B5D58" w:rsidRDefault="000A77EF" w:rsidP="00E16168">
            <w:pPr>
              <w:tabs>
                <w:tab w:val="left" w:pos="1360"/>
              </w:tabs>
              <w:rPr>
                <w:b/>
                <w:bCs/>
                <w:szCs w:val="22"/>
              </w:rPr>
            </w:pPr>
            <w:r>
              <w:rPr>
                <w:b/>
                <w:bCs/>
                <w:szCs w:val="22"/>
              </w:rPr>
              <w:t>Jobs</w:t>
            </w:r>
          </w:p>
        </w:tc>
        <w:tc>
          <w:tcPr>
            <w:tcW w:w="2412" w:type="dxa"/>
            <w:shd w:val="clear" w:color="auto" w:fill="B4C6E7"/>
            <w:noWrap/>
            <w:hideMark/>
          </w:tcPr>
          <w:p w14:paraId="6231D86B" w14:textId="68210818" w:rsidR="000A77EF" w:rsidRPr="004B5D58" w:rsidRDefault="000A77EF" w:rsidP="00E16168">
            <w:pPr>
              <w:tabs>
                <w:tab w:val="left" w:pos="1360"/>
              </w:tabs>
              <w:rPr>
                <w:b/>
                <w:bCs/>
                <w:szCs w:val="22"/>
              </w:rPr>
            </w:pPr>
            <w:r w:rsidRPr="004B5D58">
              <w:rPr>
                <w:b/>
                <w:bCs/>
                <w:szCs w:val="22"/>
              </w:rPr>
              <w:t>Importers of all Iron and Steel</w:t>
            </w:r>
          </w:p>
        </w:tc>
        <w:tc>
          <w:tcPr>
            <w:tcW w:w="1467" w:type="dxa"/>
            <w:shd w:val="clear" w:color="auto" w:fill="B4C6E7"/>
            <w:noWrap/>
            <w:hideMark/>
          </w:tcPr>
          <w:p w14:paraId="2D486BB8" w14:textId="77777777" w:rsidR="000A77EF" w:rsidRPr="004B5D58" w:rsidRDefault="000A77EF" w:rsidP="00E16168">
            <w:pPr>
              <w:tabs>
                <w:tab w:val="left" w:pos="1360"/>
              </w:tabs>
              <w:rPr>
                <w:b/>
                <w:bCs/>
                <w:szCs w:val="22"/>
              </w:rPr>
            </w:pPr>
            <w:r w:rsidRPr="004B5D58">
              <w:rPr>
                <w:b/>
                <w:bCs/>
                <w:szCs w:val="22"/>
              </w:rPr>
              <w:t>Jobs</w:t>
            </w:r>
          </w:p>
        </w:tc>
      </w:tr>
      <w:tr w:rsidR="000A77EF" w:rsidRPr="004B5D58" w14:paraId="5150F1CF" w14:textId="77777777" w:rsidTr="000A77EF">
        <w:trPr>
          <w:trHeight w:val="191"/>
        </w:trPr>
        <w:tc>
          <w:tcPr>
            <w:tcW w:w="4040" w:type="dxa"/>
            <w:noWrap/>
            <w:hideMark/>
          </w:tcPr>
          <w:p w14:paraId="52D608F4" w14:textId="77777777" w:rsidR="000A77EF" w:rsidRPr="004B5D58" w:rsidRDefault="000A77EF" w:rsidP="00E16168">
            <w:pPr>
              <w:tabs>
                <w:tab w:val="left" w:pos="1360"/>
              </w:tabs>
              <w:rPr>
                <w:szCs w:val="22"/>
              </w:rPr>
            </w:pPr>
            <w:r w:rsidRPr="004B5D58">
              <w:rPr>
                <w:szCs w:val="22"/>
              </w:rPr>
              <w:t>Black Country</w:t>
            </w:r>
          </w:p>
        </w:tc>
        <w:tc>
          <w:tcPr>
            <w:tcW w:w="1611" w:type="dxa"/>
          </w:tcPr>
          <w:p w14:paraId="091D1788" w14:textId="5B39FAC0" w:rsidR="000A77EF" w:rsidRPr="004B5D58" w:rsidRDefault="000A77EF" w:rsidP="00E16168">
            <w:pPr>
              <w:tabs>
                <w:tab w:val="left" w:pos="1360"/>
              </w:tabs>
              <w:rPr>
                <w:szCs w:val="22"/>
              </w:rPr>
            </w:pPr>
            <w:r>
              <w:rPr>
                <w:szCs w:val="22"/>
              </w:rPr>
              <w:t>20</w:t>
            </w:r>
          </w:p>
        </w:tc>
        <w:tc>
          <w:tcPr>
            <w:tcW w:w="1357" w:type="dxa"/>
          </w:tcPr>
          <w:p w14:paraId="302898BB" w14:textId="47629527" w:rsidR="000A77EF" w:rsidRPr="004B5D58" w:rsidRDefault="000A77EF" w:rsidP="00E16168">
            <w:pPr>
              <w:tabs>
                <w:tab w:val="left" w:pos="1360"/>
              </w:tabs>
              <w:rPr>
                <w:szCs w:val="22"/>
              </w:rPr>
            </w:pPr>
            <w:r>
              <w:rPr>
                <w:szCs w:val="22"/>
              </w:rPr>
              <w:t>3,000</w:t>
            </w:r>
          </w:p>
        </w:tc>
        <w:tc>
          <w:tcPr>
            <w:tcW w:w="2412" w:type="dxa"/>
            <w:noWrap/>
            <w:hideMark/>
          </w:tcPr>
          <w:p w14:paraId="7C56EB68" w14:textId="0039456A" w:rsidR="000A77EF" w:rsidRPr="004B5D58" w:rsidRDefault="000A77EF" w:rsidP="00E16168">
            <w:pPr>
              <w:tabs>
                <w:tab w:val="left" w:pos="1360"/>
              </w:tabs>
              <w:rPr>
                <w:szCs w:val="22"/>
              </w:rPr>
            </w:pPr>
            <w:r w:rsidRPr="004B5D58">
              <w:rPr>
                <w:szCs w:val="22"/>
              </w:rPr>
              <w:t>122</w:t>
            </w:r>
          </w:p>
        </w:tc>
        <w:tc>
          <w:tcPr>
            <w:tcW w:w="1467" w:type="dxa"/>
            <w:noWrap/>
            <w:hideMark/>
          </w:tcPr>
          <w:p w14:paraId="2D91E6D3" w14:textId="77777777" w:rsidR="000A77EF" w:rsidRPr="004B5D58" w:rsidRDefault="000A77EF" w:rsidP="00E16168">
            <w:pPr>
              <w:tabs>
                <w:tab w:val="left" w:pos="1360"/>
              </w:tabs>
              <w:rPr>
                <w:szCs w:val="22"/>
              </w:rPr>
            </w:pPr>
            <w:r w:rsidRPr="004B5D58">
              <w:rPr>
                <w:szCs w:val="22"/>
              </w:rPr>
              <w:t>29,000</w:t>
            </w:r>
          </w:p>
        </w:tc>
      </w:tr>
      <w:tr w:rsidR="000A77EF" w:rsidRPr="004B5D58" w14:paraId="071CBFCB" w14:textId="77777777" w:rsidTr="000A77EF">
        <w:trPr>
          <w:trHeight w:val="191"/>
        </w:trPr>
        <w:tc>
          <w:tcPr>
            <w:tcW w:w="4040" w:type="dxa"/>
            <w:noWrap/>
            <w:hideMark/>
          </w:tcPr>
          <w:p w14:paraId="29598524" w14:textId="77777777" w:rsidR="000A77EF" w:rsidRPr="004B5D58" w:rsidRDefault="000A77EF" w:rsidP="00E16168">
            <w:pPr>
              <w:tabs>
                <w:tab w:val="left" w:pos="1360"/>
              </w:tabs>
              <w:rPr>
                <w:szCs w:val="22"/>
              </w:rPr>
            </w:pPr>
            <w:r w:rsidRPr="004B5D58">
              <w:rPr>
                <w:szCs w:val="22"/>
              </w:rPr>
              <w:t>West Midlands Region</w:t>
            </w:r>
          </w:p>
        </w:tc>
        <w:tc>
          <w:tcPr>
            <w:tcW w:w="1611" w:type="dxa"/>
          </w:tcPr>
          <w:p w14:paraId="30D284C9" w14:textId="1B8EB88C" w:rsidR="000A77EF" w:rsidRPr="004B5D58" w:rsidRDefault="000A77EF" w:rsidP="00E16168">
            <w:pPr>
              <w:tabs>
                <w:tab w:val="left" w:pos="1360"/>
              </w:tabs>
              <w:rPr>
                <w:szCs w:val="22"/>
              </w:rPr>
            </w:pPr>
            <w:r>
              <w:rPr>
                <w:szCs w:val="22"/>
              </w:rPr>
              <w:t>57</w:t>
            </w:r>
          </w:p>
        </w:tc>
        <w:tc>
          <w:tcPr>
            <w:tcW w:w="1357" w:type="dxa"/>
          </w:tcPr>
          <w:p w14:paraId="3669C8FB" w14:textId="3F91886A" w:rsidR="000A77EF" w:rsidRPr="004B5D58" w:rsidRDefault="000A77EF" w:rsidP="00E16168">
            <w:pPr>
              <w:tabs>
                <w:tab w:val="left" w:pos="1360"/>
              </w:tabs>
              <w:rPr>
                <w:szCs w:val="22"/>
              </w:rPr>
            </w:pPr>
            <w:r>
              <w:rPr>
                <w:szCs w:val="22"/>
              </w:rPr>
              <w:t>46,000</w:t>
            </w:r>
          </w:p>
        </w:tc>
        <w:tc>
          <w:tcPr>
            <w:tcW w:w="2412" w:type="dxa"/>
            <w:noWrap/>
            <w:hideMark/>
          </w:tcPr>
          <w:p w14:paraId="566F1BB9" w14:textId="69D1F325" w:rsidR="000A77EF" w:rsidRPr="004B5D58" w:rsidRDefault="000A77EF" w:rsidP="00E16168">
            <w:pPr>
              <w:tabs>
                <w:tab w:val="left" w:pos="1360"/>
              </w:tabs>
              <w:rPr>
                <w:szCs w:val="22"/>
              </w:rPr>
            </w:pPr>
            <w:r w:rsidRPr="004B5D58">
              <w:rPr>
                <w:szCs w:val="22"/>
              </w:rPr>
              <w:t>321</w:t>
            </w:r>
          </w:p>
        </w:tc>
        <w:tc>
          <w:tcPr>
            <w:tcW w:w="1467" w:type="dxa"/>
            <w:noWrap/>
            <w:hideMark/>
          </w:tcPr>
          <w:p w14:paraId="7F875D8C" w14:textId="77777777" w:rsidR="000A77EF" w:rsidRPr="004B5D58" w:rsidRDefault="000A77EF" w:rsidP="00E16168">
            <w:pPr>
              <w:tabs>
                <w:tab w:val="left" w:pos="1360"/>
              </w:tabs>
              <w:rPr>
                <w:szCs w:val="22"/>
              </w:rPr>
            </w:pPr>
            <w:r w:rsidRPr="004B5D58">
              <w:rPr>
                <w:szCs w:val="22"/>
              </w:rPr>
              <w:t>66,000</w:t>
            </w:r>
          </w:p>
        </w:tc>
      </w:tr>
      <w:tr w:rsidR="000A77EF" w:rsidRPr="004B5D58" w14:paraId="090B4AF8" w14:textId="77777777" w:rsidTr="000A77EF">
        <w:trPr>
          <w:trHeight w:val="191"/>
        </w:trPr>
        <w:tc>
          <w:tcPr>
            <w:tcW w:w="4040" w:type="dxa"/>
            <w:noWrap/>
            <w:hideMark/>
          </w:tcPr>
          <w:p w14:paraId="74F69301" w14:textId="77777777" w:rsidR="000A77EF" w:rsidRPr="004B5D58" w:rsidRDefault="000A77EF" w:rsidP="00E16168">
            <w:pPr>
              <w:tabs>
                <w:tab w:val="left" w:pos="1360"/>
              </w:tabs>
              <w:rPr>
                <w:szCs w:val="22"/>
              </w:rPr>
            </w:pPr>
            <w:r w:rsidRPr="004B5D58">
              <w:rPr>
                <w:szCs w:val="22"/>
              </w:rPr>
              <w:t>UK</w:t>
            </w:r>
          </w:p>
        </w:tc>
        <w:tc>
          <w:tcPr>
            <w:tcW w:w="1611" w:type="dxa"/>
          </w:tcPr>
          <w:p w14:paraId="18693F1B" w14:textId="4D1739E7" w:rsidR="000A77EF" w:rsidRPr="004B5D58" w:rsidRDefault="000A77EF" w:rsidP="00E16168">
            <w:pPr>
              <w:tabs>
                <w:tab w:val="left" w:pos="1360"/>
              </w:tabs>
              <w:rPr>
                <w:szCs w:val="22"/>
              </w:rPr>
            </w:pPr>
            <w:r>
              <w:rPr>
                <w:szCs w:val="22"/>
              </w:rPr>
              <w:t>221</w:t>
            </w:r>
          </w:p>
        </w:tc>
        <w:tc>
          <w:tcPr>
            <w:tcW w:w="1357" w:type="dxa"/>
          </w:tcPr>
          <w:p w14:paraId="688D23CE" w14:textId="3C6F0B74" w:rsidR="000A77EF" w:rsidRPr="004B5D58" w:rsidRDefault="000A77EF" w:rsidP="00E16168">
            <w:pPr>
              <w:tabs>
                <w:tab w:val="left" w:pos="1360"/>
              </w:tabs>
              <w:rPr>
                <w:szCs w:val="22"/>
              </w:rPr>
            </w:pPr>
            <w:r>
              <w:rPr>
                <w:szCs w:val="22"/>
              </w:rPr>
              <w:t>113,000</w:t>
            </w:r>
          </w:p>
        </w:tc>
        <w:tc>
          <w:tcPr>
            <w:tcW w:w="2412" w:type="dxa"/>
            <w:noWrap/>
            <w:hideMark/>
          </w:tcPr>
          <w:p w14:paraId="18813BE1" w14:textId="4359D6AB" w:rsidR="000A77EF" w:rsidRPr="004B5D58" w:rsidRDefault="000A77EF" w:rsidP="00E16168">
            <w:pPr>
              <w:tabs>
                <w:tab w:val="left" w:pos="1360"/>
              </w:tabs>
              <w:rPr>
                <w:szCs w:val="22"/>
              </w:rPr>
            </w:pPr>
            <w:r w:rsidRPr="004B5D58">
              <w:rPr>
                <w:szCs w:val="22"/>
              </w:rPr>
              <w:t>1,890</w:t>
            </w:r>
          </w:p>
        </w:tc>
        <w:tc>
          <w:tcPr>
            <w:tcW w:w="1467" w:type="dxa"/>
            <w:noWrap/>
            <w:hideMark/>
          </w:tcPr>
          <w:p w14:paraId="30E2D4D2" w14:textId="77777777" w:rsidR="000A77EF" w:rsidRPr="004B5D58" w:rsidRDefault="000A77EF" w:rsidP="00E16168">
            <w:pPr>
              <w:tabs>
                <w:tab w:val="left" w:pos="1360"/>
              </w:tabs>
              <w:rPr>
                <w:szCs w:val="22"/>
              </w:rPr>
            </w:pPr>
            <w:r w:rsidRPr="004B5D58">
              <w:rPr>
                <w:szCs w:val="22"/>
              </w:rPr>
              <w:t>863,000</w:t>
            </w:r>
          </w:p>
        </w:tc>
      </w:tr>
    </w:tbl>
    <w:p w14:paraId="02F929BF" w14:textId="77777777" w:rsidR="00055304" w:rsidRPr="00055304" w:rsidRDefault="00055304" w:rsidP="00055304">
      <w:pPr>
        <w:rPr>
          <w:rFonts w:eastAsia="Calibri"/>
          <w:szCs w:val="22"/>
        </w:rPr>
      </w:pPr>
    </w:p>
    <w:p w14:paraId="6E15A21E" w14:textId="649960B6" w:rsidR="00055304" w:rsidRDefault="00055304" w:rsidP="00055304">
      <w:pPr>
        <w:rPr>
          <w:rFonts w:eastAsia="Calibri"/>
          <w:szCs w:val="22"/>
        </w:rPr>
      </w:pPr>
      <w:r w:rsidRPr="00055304">
        <w:rPr>
          <w:rFonts w:eastAsia="Calibri"/>
          <w:szCs w:val="22"/>
        </w:rPr>
        <w:t xml:space="preserve">The difference in safeguard experience and requirement between large steel manufacturers and downstream users must be recognised in order to </w:t>
      </w:r>
      <w:r w:rsidRPr="00344F3B">
        <w:rPr>
          <w:rFonts w:eastAsia="Calibri"/>
          <w:b/>
          <w:bCs/>
          <w:szCs w:val="22"/>
        </w:rPr>
        <w:t>build an equitable and well-balanced British steel industry.</w:t>
      </w:r>
      <w:r w:rsidRPr="00055304">
        <w:rPr>
          <w:rFonts w:eastAsia="Calibri"/>
          <w:szCs w:val="22"/>
        </w:rPr>
        <w:t xml:space="preserve"> While the reasons for introducing and continuing steel safeguarding measures are with the right intentions, the system requires fine-tuning so that the whole industry has a fair, balanced experience and can best represent global Britain.</w:t>
      </w:r>
    </w:p>
    <w:p w14:paraId="6B200D5E" w14:textId="77777777" w:rsidR="00055304" w:rsidRPr="00055304" w:rsidRDefault="00055304" w:rsidP="00055304">
      <w:pPr>
        <w:rPr>
          <w:rFonts w:eastAsia="Calibri"/>
          <w:szCs w:val="22"/>
        </w:rPr>
      </w:pPr>
    </w:p>
    <w:p w14:paraId="79855F00" w14:textId="4EF93908" w:rsidR="00055304" w:rsidRPr="00055304" w:rsidRDefault="00055304" w:rsidP="00055304">
      <w:pPr>
        <w:rPr>
          <w:rFonts w:eastAsia="Calibri"/>
          <w:szCs w:val="22"/>
        </w:rPr>
      </w:pPr>
      <w:r w:rsidRPr="00055304">
        <w:rPr>
          <w:rFonts w:eastAsia="Calibri"/>
          <w:szCs w:val="22"/>
        </w:rPr>
        <w:t>The West Midlands’ public / industry partnership wants to collaborate with government on fixing specific issues in the system, relieving SMEs of current risks and constraint and unleashing them to take advantage of new domestic and international opportunities. In the short-term this is essential for the efficient delivery of local and national infrastructure plans, driving economic recovery. Longer-term, the wider metals and materials sector will be critical to delivering net-zero and driving a circular economy, leading the way on levelling-up. This is an urgent situation that requires action now</w:t>
      </w:r>
    </w:p>
    <w:p w14:paraId="2006E3DD" w14:textId="77777777" w:rsidR="00055304" w:rsidRPr="00055304" w:rsidRDefault="00055304" w:rsidP="00055304">
      <w:pPr>
        <w:rPr>
          <w:rFonts w:eastAsia="Calibri"/>
          <w:szCs w:val="22"/>
        </w:rPr>
      </w:pPr>
    </w:p>
    <w:p w14:paraId="60330E3E" w14:textId="77777777" w:rsidR="00055304" w:rsidRPr="00055304" w:rsidRDefault="00055304" w:rsidP="00055304">
      <w:pPr>
        <w:rPr>
          <w:rFonts w:eastAsia="Calibri"/>
          <w:szCs w:val="22"/>
        </w:rPr>
      </w:pPr>
    </w:p>
    <w:p w14:paraId="69765619" w14:textId="77777777" w:rsidR="00055304" w:rsidRPr="00055304" w:rsidRDefault="00055304" w:rsidP="00055304">
      <w:pPr>
        <w:rPr>
          <w:rFonts w:eastAsia="Calibri"/>
          <w:szCs w:val="22"/>
        </w:rPr>
      </w:pPr>
    </w:p>
    <w:p w14:paraId="33E93F70" w14:textId="77777777" w:rsidR="00EF1DB0" w:rsidRPr="00055304" w:rsidRDefault="00EF1DB0" w:rsidP="00EF1DB0">
      <w:pPr>
        <w:rPr>
          <w:rFonts w:eastAsia="Calibri"/>
          <w:szCs w:val="22"/>
        </w:rPr>
      </w:pPr>
    </w:p>
    <w:p w14:paraId="3FA72572" w14:textId="16336935" w:rsidR="00055304" w:rsidRPr="00055304" w:rsidRDefault="00055304" w:rsidP="00055304">
      <w:pPr>
        <w:rPr>
          <w:rFonts w:eastAsia="Calibri"/>
          <w:szCs w:val="22"/>
        </w:rPr>
      </w:pPr>
    </w:p>
    <w:p w14:paraId="0F1136E8" w14:textId="77777777" w:rsidR="00055304" w:rsidRPr="00A060A8" w:rsidRDefault="00055304" w:rsidP="00055304">
      <w:pPr>
        <w:rPr>
          <w:rFonts w:eastAsia="Calibri"/>
          <w:i/>
          <w:iCs/>
          <w:szCs w:val="22"/>
        </w:rPr>
      </w:pPr>
    </w:p>
    <w:p w14:paraId="69AE4D87" w14:textId="0345A709" w:rsidR="006C37B2" w:rsidRDefault="00055304" w:rsidP="00CF347F">
      <w:pPr>
        <w:tabs>
          <w:tab w:val="left" w:pos="900"/>
        </w:tabs>
        <w:rPr>
          <w:rFonts w:eastAsia="Calibri"/>
          <w:szCs w:val="22"/>
        </w:rPr>
      </w:pPr>
      <w:r>
        <w:rPr>
          <w:rFonts w:eastAsia="Calibri"/>
          <w:szCs w:val="22"/>
        </w:rPr>
        <w:tab/>
      </w:r>
    </w:p>
    <w:p w14:paraId="2225A7DD" w14:textId="19A5877B" w:rsidR="00CF347F" w:rsidRDefault="00CF347F" w:rsidP="00CF347F">
      <w:pPr>
        <w:tabs>
          <w:tab w:val="left" w:pos="900"/>
        </w:tabs>
        <w:rPr>
          <w:rFonts w:eastAsia="Calibri"/>
          <w:szCs w:val="22"/>
        </w:rPr>
      </w:pPr>
    </w:p>
    <w:p w14:paraId="7E4B3B05" w14:textId="272417A5" w:rsidR="00CF347F" w:rsidRDefault="00CF347F" w:rsidP="00CF347F">
      <w:pPr>
        <w:tabs>
          <w:tab w:val="left" w:pos="900"/>
        </w:tabs>
        <w:rPr>
          <w:rFonts w:eastAsia="Calibri"/>
          <w:szCs w:val="22"/>
        </w:rPr>
      </w:pPr>
    </w:p>
    <w:p w14:paraId="2EABCCEA" w14:textId="0FE0FAC9" w:rsidR="00CF347F" w:rsidRDefault="00CF347F" w:rsidP="00CF347F">
      <w:pPr>
        <w:tabs>
          <w:tab w:val="left" w:pos="900"/>
        </w:tabs>
        <w:rPr>
          <w:rFonts w:eastAsia="Calibri"/>
          <w:szCs w:val="22"/>
        </w:rPr>
      </w:pPr>
    </w:p>
    <w:p w14:paraId="4501B953" w14:textId="77777777" w:rsidR="00CF347F" w:rsidRPr="00CF347F" w:rsidRDefault="00CF347F" w:rsidP="00CF347F">
      <w:pPr>
        <w:tabs>
          <w:tab w:val="left" w:pos="900"/>
        </w:tabs>
        <w:rPr>
          <w:rFonts w:eastAsia="Calibri"/>
          <w:szCs w:val="22"/>
        </w:rPr>
      </w:pPr>
    </w:p>
    <w:p w14:paraId="5EE12D33" w14:textId="77777777" w:rsidR="006C37B2" w:rsidRPr="00A060A8" w:rsidRDefault="006C37B2" w:rsidP="006C37B2">
      <w:pPr>
        <w:rPr>
          <w:rFonts w:eastAsia="Calibri"/>
          <w:i/>
          <w:iCs/>
          <w:szCs w:val="22"/>
        </w:rPr>
      </w:pPr>
    </w:p>
    <w:p w14:paraId="7F8FF2B6" w14:textId="77777777" w:rsidR="006C37B2" w:rsidRPr="00A060A8" w:rsidRDefault="006C37B2" w:rsidP="006C37B2">
      <w:pPr>
        <w:rPr>
          <w:rFonts w:eastAsia="Calibri"/>
          <w:i/>
          <w:iCs/>
          <w:szCs w:val="22"/>
        </w:rPr>
      </w:pPr>
      <w:r w:rsidRPr="00A060A8">
        <w:rPr>
          <w:rFonts w:eastAsia="Calibri"/>
          <w:i/>
          <w:iCs/>
          <w:szCs w:val="22"/>
        </w:rPr>
        <w:t>Black Country Consortium Ltd</w:t>
      </w:r>
    </w:p>
    <w:p w14:paraId="505F339E" w14:textId="77777777" w:rsidR="006C37B2" w:rsidRPr="00A060A8" w:rsidRDefault="006C37B2" w:rsidP="006C37B2">
      <w:pPr>
        <w:rPr>
          <w:i/>
          <w:iCs/>
          <w:color w:val="000000"/>
          <w:lang w:eastAsia="en-GB"/>
        </w:rPr>
      </w:pPr>
      <w:r w:rsidRPr="00A060A8">
        <w:rPr>
          <w:i/>
          <w:iCs/>
          <w:color w:val="000000"/>
          <w:lang w:eastAsia="en-GB"/>
        </w:rPr>
        <w:t>The Deckhouse</w:t>
      </w:r>
      <w:r w:rsidRPr="00A060A8">
        <w:rPr>
          <w:i/>
          <w:iCs/>
          <w:color w:val="000000"/>
          <w:lang w:eastAsia="en-GB"/>
        </w:rPr>
        <w:br/>
        <w:t>Waterfront West</w:t>
      </w:r>
      <w:r w:rsidRPr="00A060A8">
        <w:rPr>
          <w:i/>
          <w:iCs/>
          <w:color w:val="000000"/>
          <w:lang w:eastAsia="en-GB"/>
        </w:rPr>
        <w:br/>
        <w:t>Dudley Road</w:t>
      </w:r>
      <w:r w:rsidRPr="00A060A8">
        <w:rPr>
          <w:i/>
          <w:iCs/>
          <w:color w:val="000000"/>
          <w:lang w:eastAsia="en-GB"/>
        </w:rPr>
        <w:br/>
        <w:t xml:space="preserve">Brierley Hill           </w:t>
      </w:r>
    </w:p>
    <w:p w14:paraId="6F4C05D8" w14:textId="77777777" w:rsidR="006C37B2" w:rsidRPr="00A060A8" w:rsidRDefault="006C37B2" w:rsidP="006C37B2">
      <w:pPr>
        <w:rPr>
          <w:rFonts w:eastAsia="Calibri"/>
          <w:i/>
          <w:iCs/>
          <w:szCs w:val="22"/>
        </w:rPr>
      </w:pPr>
      <w:r w:rsidRPr="00A060A8">
        <w:rPr>
          <w:i/>
          <w:iCs/>
          <w:color w:val="000000"/>
          <w:lang w:eastAsia="en-GB"/>
        </w:rPr>
        <w:t>DY5 1LW </w:t>
      </w:r>
    </w:p>
    <w:p w14:paraId="1147B4EF" w14:textId="4DAA61F7" w:rsidR="00055304" w:rsidRPr="00055304" w:rsidRDefault="00055304" w:rsidP="00055304">
      <w:pPr>
        <w:tabs>
          <w:tab w:val="left" w:pos="900"/>
        </w:tabs>
        <w:rPr>
          <w:rFonts w:eastAsia="Calibri"/>
          <w:szCs w:val="22"/>
        </w:rPr>
        <w:sectPr w:rsidR="00055304" w:rsidRPr="00055304" w:rsidSect="00562122">
          <w:pgSz w:w="11906" w:h="16838"/>
          <w:pgMar w:top="1440" w:right="1440" w:bottom="1440" w:left="1440" w:header="708" w:footer="708" w:gutter="0"/>
          <w:cols w:space="708"/>
          <w:docGrid w:linePitch="360"/>
        </w:sectPr>
      </w:pPr>
      <w:r>
        <w:rPr>
          <w:rFonts w:eastAsia="Calibri"/>
          <w:szCs w:val="22"/>
        </w:rPr>
        <w:tab/>
      </w:r>
    </w:p>
    <w:p w14:paraId="353D92B4" w14:textId="2BCA7D02" w:rsidR="007D2AD1" w:rsidRPr="004B5D58" w:rsidRDefault="00E16168" w:rsidP="00055304">
      <w:pPr>
        <w:tabs>
          <w:tab w:val="left" w:pos="3187"/>
        </w:tabs>
        <w:spacing w:after="160" w:line="259" w:lineRule="auto"/>
        <w:jc w:val="center"/>
        <w:rPr>
          <w:rFonts w:eastAsia="Calibri"/>
          <w:b/>
          <w:bCs/>
          <w:sz w:val="28"/>
          <w:szCs w:val="28"/>
        </w:rPr>
        <w:sectPr w:rsidR="007D2AD1" w:rsidRPr="004B5D58" w:rsidSect="007D2AD1">
          <w:pgSz w:w="16838" w:h="11906" w:orient="landscape"/>
          <w:pgMar w:top="1440" w:right="1440" w:bottom="1440" w:left="1440" w:header="708" w:footer="708" w:gutter="0"/>
          <w:cols w:space="720"/>
          <w:docGrid w:linePitch="360"/>
        </w:sectPr>
      </w:pPr>
      <w:r w:rsidRPr="004B5D58">
        <w:rPr>
          <w:rFonts w:eastAsia="Calibri"/>
          <w:b/>
          <w:bCs/>
          <w:sz w:val="28"/>
          <w:szCs w:val="28"/>
        </w:rPr>
        <w:lastRenderedPageBreak/>
        <w:t xml:space="preserve">Figure </w:t>
      </w:r>
      <w:r w:rsidR="008C3DBC">
        <w:rPr>
          <w:rFonts w:eastAsia="Calibri"/>
          <w:b/>
          <w:bCs/>
          <w:sz w:val="28"/>
          <w:szCs w:val="28"/>
        </w:rPr>
        <w:t>3</w:t>
      </w:r>
      <w:r w:rsidRPr="004B5D58">
        <w:rPr>
          <w:rFonts w:eastAsia="Calibri"/>
          <w:b/>
          <w:bCs/>
          <w:sz w:val="28"/>
          <w:szCs w:val="28"/>
        </w:rPr>
        <w:t>: Safeguards as an Additional Layer of Uncertainty, Cost and Competitiveness for UK Downstream Steel Firms</w:t>
      </w:r>
    </w:p>
    <w:p w14:paraId="4D42EBF3" w14:textId="65000D0F" w:rsidR="007D2AD1" w:rsidRPr="004B5D58" w:rsidRDefault="003D4F08" w:rsidP="00E16168">
      <w:pPr>
        <w:spacing w:after="160" w:line="259" w:lineRule="auto"/>
        <w:rPr>
          <w:rFonts w:eastAsia="Calibri"/>
          <w:sz w:val="8"/>
          <w:szCs w:val="8"/>
        </w:rPr>
        <w:sectPr w:rsidR="007D2AD1" w:rsidRPr="004B5D58" w:rsidSect="007D2AD1">
          <w:type w:val="continuous"/>
          <w:pgSz w:w="16838" w:h="11906" w:orient="landscape"/>
          <w:pgMar w:top="1440" w:right="1440" w:bottom="1440" w:left="1440" w:header="708" w:footer="708" w:gutter="0"/>
          <w:cols w:num="3" w:space="720"/>
          <w:docGrid w:linePitch="360"/>
        </w:sectPr>
      </w:pPr>
      <w:r w:rsidRPr="004B5D58">
        <w:rPr>
          <w:rFonts w:eastAsia="Calibri"/>
          <w:noProof/>
          <w:szCs w:val="22"/>
        </w:rPr>
        <w:drawing>
          <wp:anchor distT="0" distB="0" distL="114300" distR="114300" simplePos="0" relativeHeight="251673600" behindDoc="1" locked="0" layoutInCell="1" allowOverlap="1" wp14:anchorId="30CD9DD4" wp14:editId="1F259A51">
            <wp:simplePos x="0" y="0"/>
            <wp:positionH relativeFrom="margin">
              <wp:posOffset>-392430</wp:posOffset>
            </wp:positionH>
            <wp:positionV relativeFrom="paragraph">
              <wp:posOffset>12065</wp:posOffset>
            </wp:positionV>
            <wp:extent cx="9851390" cy="4921885"/>
            <wp:effectExtent l="0" t="0" r="0" b="0"/>
            <wp:wrapTight wrapText="bothSides">
              <wp:wrapPolygon edited="0">
                <wp:start x="0" y="0"/>
                <wp:lineTo x="0" y="21486"/>
                <wp:lineTo x="21553" y="21486"/>
                <wp:lineTo x="215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51390" cy="4921885"/>
                    </a:xfrm>
                    <a:prstGeom prst="rect">
                      <a:avLst/>
                    </a:prstGeom>
                  </pic:spPr>
                </pic:pic>
              </a:graphicData>
            </a:graphic>
            <wp14:sizeRelH relativeFrom="page">
              <wp14:pctWidth>0</wp14:pctWidth>
            </wp14:sizeRelH>
            <wp14:sizeRelV relativeFrom="page">
              <wp14:pctHeight>0</wp14:pctHeight>
            </wp14:sizeRelV>
          </wp:anchor>
        </w:drawing>
      </w:r>
    </w:p>
    <w:p w14:paraId="64ADEB3C" w14:textId="1B629BA0" w:rsidR="00E16168" w:rsidRPr="004B5D58" w:rsidRDefault="00E16168" w:rsidP="000C6156">
      <w:pPr>
        <w:spacing w:line="276" w:lineRule="auto"/>
        <w:ind w:right="-2859"/>
        <w:jc w:val="both"/>
        <w:rPr>
          <w:szCs w:val="22"/>
        </w:rPr>
      </w:pPr>
    </w:p>
    <w:sectPr w:rsidR="00E16168" w:rsidRPr="004B5D58" w:rsidSect="007D2AD1">
      <w:type w:val="continuous"/>
      <w:pgSz w:w="16838" w:h="11906" w:orient="landscape"/>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0695" w14:textId="77777777" w:rsidR="00A257FD" w:rsidRDefault="00A257FD">
      <w:r>
        <w:separator/>
      </w:r>
    </w:p>
  </w:endnote>
  <w:endnote w:type="continuationSeparator" w:id="0">
    <w:p w14:paraId="4064DD13" w14:textId="77777777" w:rsidR="00A257FD" w:rsidRDefault="00A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44694"/>
      <w:docPartObj>
        <w:docPartGallery w:val="Page Numbers (Bottom of Page)"/>
        <w:docPartUnique/>
      </w:docPartObj>
    </w:sdtPr>
    <w:sdtEndPr>
      <w:rPr>
        <w:noProof/>
      </w:rPr>
    </w:sdtEndPr>
    <w:sdtContent>
      <w:p w14:paraId="24861D9B" w14:textId="77777777" w:rsidR="00E16168" w:rsidRDefault="00E16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A9043" w14:textId="77777777" w:rsidR="00E16168" w:rsidRDefault="00E1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4106" w14:textId="77777777" w:rsidR="00A257FD" w:rsidRDefault="00A257FD">
      <w:r>
        <w:separator/>
      </w:r>
    </w:p>
  </w:footnote>
  <w:footnote w:type="continuationSeparator" w:id="0">
    <w:p w14:paraId="7351238A" w14:textId="77777777" w:rsidR="00A257FD" w:rsidRDefault="00A257FD">
      <w:r>
        <w:continuationSeparator/>
      </w:r>
    </w:p>
  </w:footnote>
  <w:footnote w:id="1">
    <w:p w14:paraId="7F23D874" w14:textId="77777777" w:rsidR="007776DC" w:rsidRDefault="007776DC" w:rsidP="007776DC">
      <w:pPr>
        <w:pStyle w:val="FootnoteText"/>
      </w:pPr>
      <w:r>
        <w:rPr>
          <w:rStyle w:val="FootnoteReference"/>
        </w:rPr>
        <w:footnoteRef/>
      </w:r>
      <w:r>
        <w:t xml:space="preserve"> </w:t>
      </w:r>
      <w:hyperlink r:id="rId1" w:history="1">
        <w:r w:rsidRPr="00FD25F9">
          <w:rPr>
            <w:rStyle w:val="Hyperlink"/>
          </w:rPr>
          <w:t>https://www.gov.uk/government/publications/trade-remedies-notice-safeguard-measures-on-certain-steel-products-application-of-tariff-rate-quotas</w:t>
        </w:r>
      </w:hyperlink>
      <w:r>
        <w:t xml:space="preserve"> </w:t>
      </w:r>
    </w:p>
  </w:footnote>
  <w:footnote w:id="2">
    <w:p w14:paraId="1D33E210" w14:textId="77777777" w:rsidR="007776DC" w:rsidRDefault="007776DC" w:rsidP="007776DC">
      <w:pPr>
        <w:pStyle w:val="FootnoteText"/>
      </w:pPr>
      <w:r>
        <w:rPr>
          <w:rStyle w:val="FootnoteReference"/>
        </w:rPr>
        <w:footnoteRef/>
      </w:r>
      <w:r>
        <w:t xml:space="preserve"> </w:t>
      </w:r>
      <w:hyperlink r:id="rId2" w:history="1">
        <w:r w:rsidRPr="008066F1">
          <w:rPr>
            <w:rStyle w:val="Hyperlink"/>
          </w:rPr>
          <w:t>https://www.trade-remedies.service.gov.uk/public/case/TF0006/submission/187accc2-e0e6-40b7-8d2f-fdc9b10d536d/</w:t>
        </w:r>
      </w:hyperlink>
      <w:r>
        <w:t xml:space="preserve"> </w:t>
      </w:r>
    </w:p>
  </w:footnote>
  <w:footnote w:id="3">
    <w:p w14:paraId="6F27EAD8" w14:textId="6F2D9389" w:rsidR="008B3C5A" w:rsidRDefault="008B3C5A" w:rsidP="008B3C5A">
      <w:pPr>
        <w:pStyle w:val="FootnoteText"/>
      </w:pPr>
      <w:r>
        <w:rPr>
          <w:rStyle w:val="FootnoteReference"/>
        </w:rPr>
        <w:footnoteRef/>
      </w:r>
      <w:r>
        <w:t xml:space="preserve"> ONS Business Register and Employment Survey (2020) and ONS UK Business Counts (2020); SIC Codes 24 and 25</w:t>
      </w:r>
    </w:p>
  </w:footnote>
  <w:footnote w:id="4">
    <w:p w14:paraId="0CB7414A" w14:textId="42683311" w:rsidR="007752EA" w:rsidRDefault="007752EA">
      <w:pPr>
        <w:pStyle w:val="FootnoteText"/>
      </w:pPr>
      <w:r>
        <w:rPr>
          <w:rStyle w:val="FootnoteReference"/>
        </w:rPr>
        <w:footnoteRef/>
      </w:r>
      <w:r>
        <w:t xml:space="preserve"> </w:t>
      </w:r>
      <w:hyperlink r:id="rId3" w:history="1">
        <w:r w:rsidRPr="008066F1">
          <w:rPr>
            <w:rStyle w:val="Hyperlink"/>
          </w:rPr>
          <w:t>https://www.constructionenquirer.com/2021/05/20/government-needs-an-extra-2-6m-tonnes-of-steel-for-projects/</w:t>
        </w:r>
      </w:hyperlink>
      <w:r>
        <w:t xml:space="preserve"> </w:t>
      </w:r>
    </w:p>
  </w:footnote>
  <w:footnote w:id="5">
    <w:p w14:paraId="58CDCEB6" w14:textId="77777777" w:rsidR="00E16168" w:rsidRDefault="00E16168" w:rsidP="00E16168">
      <w:pPr>
        <w:pStyle w:val="FootnoteText"/>
      </w:pPr>
      <w:r>
        <w:rPr>
          <w:rStyle w:val="FootnoteReference"/>
        </w:rPr>
        <w:footnoteRef/>
      </w:r>
      <w:r>
        <w:t xml:space="preserve"> </w:t>
      </w:r>
      <w:hyperlink r:id="rId4" w:history="1">
        <w:r w:rsidRPr="00DE43EF">
          <w:rPr>
            <w:rStyle w:val="Hyperlink"/>
          </w:rPr>
          <w:t>https://www.gov.uk/guidance/eu-steel-safeguard-quotas-following-uk-independence-tariff-stop-press-notice-51</w:t>
        </w:r>
      </w:hyperlink>
      <w:r>
        <w:t xml:space="preserve"> </w:t>
      </w:r>
    </w:p>
  </w:footnote>
  <w:footnote w:id="6">
    <w:p w14:paraId="4ADA805D" w14:textId="10DAEF1F" w:rsidR="00E16168" w:rsidRDefault="00E16168" w:rsidP="00E16168">
      <w:pPr>
        <w:pStyle w:val="FootnoteText"/>
      </w:pPr>
      <w:r>
        <w:rPr>
          <w:rStyle w:val="FootnoteReference"/>
        </w:rPr>
        <w:footnoteRef/>
      </w:r>
      <w:r>
        <w:t xml:space="preserve"> </w:t>
      </w:r>
      <w:hyperlink r:id="rId5" w:history="1">
        <w:r w:rsidR="007622FB" w:rsidRPr="00A752AE">
          <w:rPr>
            <w:rStyle w:val="Hyperlink"/>
          </w:rPr>
          <w:t>https://researchbriefings.files.parliament.uk/documents/CBP-7317/CBP-7317.pdf</w:t>
        </w:r>
      </w:hyperlink>
      <w:r w:rsidR="007622FB">
        <w:t xml:space="preserve"> </w:t>
      </w:r>
    </w:p>
  </w:footnote>
  <w:footnote w:id="7">
    <w:p w14:paraId="3B7B535E" w14:textId="77777777" w:rsidR="00E16168" w:rsidRDefault="00E16168" w:rsidP="00E16168">
      <w:pPr>
        <w:pStyle w:val="FootnoteText"/>
      </w:pPr>
      <w:r>
        <w:rPr>
          <w:rStyle w:val="FootnoteReference"/>
        </w:rPr>
        <w:footnoteRef/>
      </w:r>
      <w:r>
        <w:t xml:space="preserve"> ONS UK Business Counts (2020)</w:t>
      </w:r>
    </w:p>
  </w:footnote>
  <w:footnote w:id="8">
    <w:p w14:paraId="3FB0894F" w14:textId="52EF158C" w:rsidR="00D1183D" w:rsidRDefault="00D1183D">
      <w:pPr>
        <w:pStyle w:val="FootnoteText"/>
      </w:pPr>
      <w:r>
        <w:rPr>
          <w:rStyle w:val="FootnoteReference"/>
        </w:rPr>
        <w:footnoteRef/>
      </w:r>
      <w:r>
        <w:t xml:space="preserve"> ONS Business Register and Employment Survey (2020)</w:t>
      </w:r>
    </w:p>
  </w:footnote>
  <w:footnote w:id="9">
    <w:p w14:paraId="66D6DE1C" w14:textId="6CDDA66A" w:rsidR="00C80482" w:rsidRDefault="00B44A3B">
      <w:pPr>
        <w:pStyle w:val="FootnoteText"/>
      </w:pPr>
      <w:r>
        <w:rPr>
          <w:rStyle w:val="FootnoteReference"/>
        </w:rPr>
        <w:footnoteRef/>
      </w:r>
      <w:r>
        <w:t xml:space="preserve"> </w:t>
      </w:r>
      <w:r w:rsidR="00D1183D">
        <w:t>Core Steel Sector (Producers)</w:t>
      </w:r>
      <w:r>
        <w:t xml:space="preserve"> defined by SIC Codes: 24.1, 24.2, 2</w:t>
      </w:r>
      <w:r w:rsidR="00C80482">
        <w:t xml:space="preserve">4.3; Downstream Steel Users defined by SIC Codes: 24.52, </w:t>
      </w:r>
      <w:r w:rsidR="00DA2060">
        <w:t>25.0 excluding 25.</w:t>
      </w:r>
      <w:r w:rsidR="000C076E">
        <w:t>92; Other Metals defined by SIC codes: 24.</w:t>
      </w:r>
      <w:r w:rsidR="00F10432">
        <w:t>4, 24.5 excluding 24.52</w:t>
      </w:r>
      <w:r w:rsidR="00E40258">
        <w:t>, 25.92.</w:t>
      </w:r>
      <w:r w:rsidR="00F10432">
        <w:t xml:space="preserve"> </w:t>
      </w:r>
    </w:p>
  </w:footnote>
  <w:footnote w:id="10">
    <w:p w14:paraId="0217B116" w14:textId="4F77FA78" w:rsidR="00633F31" w:rsidRDefault="00633F31">
      <w:pPr>
        <w:pStyle w:val="FootnoteText"/>
      </w:pPr>
      <w:r>
        <w:rPr>
          <w:rStyle w:val="FootnoteReference"/>
        </w:rPr>
        <w:footnoteRef/>
      </w:r>
      <w:r>
        <w:t xml:space="preserve"> WMCA 3-LEP refers to the three LEP geography related to the West Midlands Combined Authority area: Black Country LEP, Greater Birmingham and Solihull LEP &amp; Coventry &amp; Warwickshire LEP.</w:t>
      </w:r>
    </w:p>
  </w:footnote>
  <w:footnote w:id="11">
    <w:p w14:paraId="0539FFFD" w14:textId="77777777" w:rsidR="00E16168" w:rsidRDefault="00E16168" w:rsidP="00E16168">
      <w:pPr>
        <w:pStyle w:val="FootnoteText"/>
      </w:pPr>
      <w:r>
        <w:rPr>
          <w:rStyle w:val="FootnoteReference"/>
        </w:rPr>
        <w:footnoteRef/>
      </w:r>
      <w:r>
        <w:t xml:space="preserve"> </w:t>
      </w:r>
      <w:hyperlink r:id="rId6" w:history="1">
        <w:r w:rsidRPr="00CE712D">
          <w:rPr>
            <w:rStyle w:val="Hyperlink"/>
          </w:rPr>
          <w:t>https://www.gov.uk/government/news/tra-publishes-final-recommendation-on-steel-safeguard-measures</w:t>
        </w:r>
      </w:hyperlink>
      <w:r>
        <w:t xml:space="preserve"> </w:t>
      </w:r>
    </w:p>
  </w:footnote>
  <w:footnote w:id="12">
    <w:p w14:paraId="1D1E414A" w14:textId="77777777" w:rsidR="00E16168" w:rsidRDefault="00E16168" w:rsidP="00E16168">
      <w:pPr>
        <w:pStyle w:val="FootnoteText"/>
      </w:pPr>
      <w:r>
        <w:rPr>
          <w:rStyle w:val="FootnoteReference"/>
        </w:rPr>
        <w:footnoteRef/>
      </w:r>
      <w:r>
        <w:t xml:space="preserve"> TRA’s Recommendation to the Secretary of State Transition review TF0006 – Safeguard measure on certain steel products.</w:t>
      </w:r>
    </w:p>
  </w:footnote>
  <w:footnote w:id="13">
    <w:p w14:paraId="2CBB6616" w14:textId="77777777" w:rsidR="00E16168" w:rsidRDefault="00E16168" w:rsidP="00E16168">
      <w:pPr>
        <w:pStyle w:val="FootnoteText"/>
      </w:pPr>
      <w:r>
        <w:rPr>
          <w:rStyle w:val="FootnoteReference"/>
        </w:rPr>
        <w:footnoteRef/>
      </w:r>
      <w:r>
        <w:t xml:space="preserve"> </w:t>
      </w:r>
      <w:hyperlink r:id="rId7" w:history="1">
        <w:r w:rsidRPr="00E24A33">
          <w:rPr>
            <w:rStyle w:val="Hyperlink"/>
          </w:rPr>
          <w:t>Latest figures</w:t>
        </w:r>
      </w:hyperlink>
      <w:r w:rsidRPr="00604538">
        <w:t xml:space="preserve"> show that over the next decade the government will need an estimated 7.6 million tonnes of steel for public infrastructure plans – up from last year’s estimate of 5 million</w:t>
      </w:r>
      <w:r>
        <w:t xml:space="preserve">: </w:t>
      </w:r>
    </w:p>
  </w:footnote>
  <w:footnote w:id="14">
    <w:p w14:paraId="2C48284B" w14:textId="77777777" w:rsidR="00E16168" w:rsidRDefault="00E16168" w:rsidP="00E16168">
      <w:pPr>
        <w:pStyle w:val="FootnoteText"/>
      </w:pPr>
      <w:r>
        <w:rPr>
          <w:rStyle w:val="FootnoteReference"/>
        </w:rPr>
        <w:footnoteRef/>
      </w:r>
      <w:r>
        <w:t xml:space="preserve"> Black Country Economic Intelligence Unit Analysis of ONS data</w:t>
      </w:r>
    </w:p>
  </w:footnote>
  <w:footnote w:id="15">
    <w:p w14:paraId="673E97F7" w14:textId="77777777" w:rsidR="00E16168" w:rsidRDefault="00E16168" w:rsidP="00E16168">
      <w:pPr>
        <w:pStyle w:val="FootnoteText"/>
      </w:pPr>
      <w:r>
        <w:rPr>
          <w:rStyle w:val="FootnoteReference"/>
        </w:rPr>
        <w:footnoteRef/>
      </w:r>
      <w:r>
        <w:t xml:space="preserve"> The average number of employees is 21 according to UK Metals Council.</w:t>
      </w:r>
    </w:p>
  </w:footnote>
  <w:footnote w:id="16">
    <w:p w14:paraId="6758CCF3" w14:textId="442C43D8" w:rsidR="00E16168" w:rsidRDefault="00E16168" w:rsidP="00E16168">
      <w:pPr>
        <w:pStyle w:val="FootnoteText"/>
      </w:pPr>
      <w:r>
        <w:rPr>
          <w:rStyle w:val="FootnoteReference"/>
        </w:rPr>
        <w:footnoteRef/>
      </w:r>
      <w:r>
        <w:t xml:space="preserve"> </w:t>
      </w:r>
      <w:r w:rsidRPr="00E24A33">
        <w:t>Figures accessed via DueDil business database. No. of importers relate to record of import from a company</w:t>
      </w:r>
      <w:r w:rsidR="00055304">
        <w:t xml:space="preserve"> from non-EU country</w:t>
      </w:r>
      <w:r w:rsidRPr="00E24A33">
        <w:t>, relating to previous years data. It is likely that the numbers of importers is in fact higher due to data gaps.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789" w14:textId="0611DEDA" w:rsidR="00E16168" w:rsidRPr="00EE7B42" w:rsidRDefault="001C32F6" w:rsidP="00D24D2B">
    <w:pPr>
      <w:ind w:right="-1054"/>
      <w:jc w:val="right"/>
    </w:pPr>
    <w:r w:rsidRPr="005430B9">
      <w:rPr>
        <w:noProof/>
      </w:rPr>
      <w:drawing>
        <wp:anchor distT="0" distB="0" distL="114300" distR="114300" simplePos="0" relativeHeight="251661312" behindDoc="1" locked="0" layoutInCell="1" allowOverlap="1" wp14:anchorId="12782665" wp14:editId="4EA83DA7">
          <wp:simplePos x="0" y="0"/>
          <wp:positionH relativeFrom="margin">
            <wp:posOffset>3438525</wp:posOffset>
          </wp:positionH>
          <wp:positionV relativeFrom="paragraph">
            <wp:posOffset>-192405</wp:posOffset>
          </wp:positionV>
          <wp:extent cx="2009775" cy="443230"/>
          <wp:effectExtent l="0" t="0" r="9525" b="0"/>
          <wp:wrapTight wrapText="bothSides">
            <wp:wrapPolygon edited="0">
              <wp:start x="0" y="0"/>
              <wp:lineTo x="0" y="20424"/>
              <wp:lineTo x="21498" y="20424"/>
              <wp:lineTo x="2149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B9">
      <w:rPr>
        <w:noProof/>
      </w:rPr>
      <w:drawing>
        <wp:anchor distT="0" distB="0" distL="114300" distR="114300" simplePos="0" relativeHeight="251660288" behindDoc="1" locked="0" layoutInCell="1" allowOverlap="1" wp14:anchorId="5B59D884" wp14:editId="011C2293">
          <wp:simplePos x="0" y="0"/>
          <wp:positionH relativeFrom="margin">
            <wp:posOffset>1976120</wp:posOffset>
          </wp:positionH>
          <wp:positionV relativeFrom="paragraph">
            <wp:posOffset>-279400</wp:posOffset>
          </wp:positionV>
          <wp:extent cx="1165860" cy="749300"/>
          <wp:effectExtent l="0" t="0" r="0" b="0"/>
          <wp:wrapTight wrapText="bothSides">
            <wp:wrapPolygon edited="0">
              <wp:start x="1765" y="0"/>
              <wp:lineTo x="0" y="5492"/>
              <wp:lineTo x="0" y="7139"/>
              <wp:lineTo x="1765" y="18122"/>
              <wp:lineTo x="1765" y="20868"/>
              <wp:lineTo x="3529" y="20868"/>
              <wp:lineTo x="3882" y="18122"/>
              <wp:lineTo x="17647" y="9336"/>
              <wp:lineTo x="20471" y="2746"/>
              <wp:lineTo x="19765" y="1098"/>
              <wp:lineTo x="14471" y="0"/>
              <wp:lineTo x="1765" y="0"/>
            </wp:wrapPolygon>
          </wp:wrapTight>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5860" cy="749300"/>
                  </a:xfrm>
                  <a:prstGeom prst="rect">
                    <a:avLst/>
                  </a:prstGeom>
                </pic:spPr>
              </pic:pic>
            </a:graphicData>
          </a:graphic>
          <wp14:sizeRelH relativeFrom="page">
            <wp14:pctWidth>0</wp14:pctWidth>
          </wp14:sizeRelH>
          <wp14:sizeRelV relativeFrom="page">
            <wp14:pctHeight>0</wp14:pctHeight>
          </wp14:sizeRelV>
        </wp:anchor>
      </w:drawing>
    </w:r>
    <w:r w:rsidRPr="005430B9">
      <w:rPr>
        <w:noProof/>
      </w:rPr>
      <w:drawing>
        <wp:anchor distT="0" distB="0" distL="114300" distR="114300" simplePos="0" relativeHeight="251659264" behindDoc="1" locked="0" layoutInCell="1" allowOverlap="1" wp14:anchorId="04083142" wp14:editId="75F70C70">
          <wp:simplePos x="0" y="0"/>
          <wp:positionH relativeFrom="margin">
            <wp:align>left</wp:align>
          </wp:positionH>
          <wp:positionV relativeFrom="paragraph">
            <wp:posOffset>-127635</wp:posOffset>
          </wp:positionV>
          <wp:extent cx="1536700" cy="412115"/>
          <wp:effectExtent l="0" t="0" r="6350" b="6985"/>
          <wp:wrapTight wrapText="bothSides">
            <wp:wrapPolygon edited="0">
              <wp:start x="0" y="0"/>
              <wp:lineTo x="0" y="20968"/>
              <wp:lineTo x="21421" y="20968"/>
              <wp:lineTo x="214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6700" cy="412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643"/>
    <w:multiLevelType w:val="hybridMultilevel"/>
    <w:tmpl w:val="0B5C1924"/>
    <w:lvl w:ilvl="0" w:tplc="00E47B06">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121A11FB"/>
    <w:multiLevelType w:val="hybridMultilevel"/>
    <w:tmpl w:val="F238CE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E0772"/>
    <w:multiLevelType w:val="hybridMultilevel"/>
    <w:tmpl w:val="B2EA4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E0028"/>
    <w:multiLevelType w:val="hybridMultilevel"/>
    <w:tmpl w:val="61241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64CB4"/>
    <w:multiLevelType w:val="hybridMultilevel"/>
    <w:tmpl w:val="AC20E4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2095E"/>
    <w:multiLevelType w:val="hybridMultilevel"/>
    <w:tmpl w:val="F9E2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F152D"/>
    <w:multiLevelType w:val="hybridMultilevel"/>
    <w:tmpl w:val="4C1092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503038C"/>
    <w:multiLevelType w:val="hybridMultilevel"/>
    <w:tmpl w:val="F420167E"/>
    <w:lvl w:ilvl="0" w:tplc="651C7D7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0C59A7"/>
    <w:multiLevelType w:val="hybridMultilevel"/>
    <w:tmpl w:val="2C6A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5F5279"/>
    <w:multiLevelType w:val="hybridMultilevel"/>
    <w:tmpl w:val="89481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E19D7"/>
    <w:multiLevelType w:val="hybridMultilevel"/>
    <w:tmpl w:val="1772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814DA"/>
    <w:multiLevelType w:val="hybridMultilevel"/>
    <w:tmpl w:val="C5609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07954"/>
    <w:multiLevelType w:val="hybridMultilevel"/>
    <w:tmpl w:val="A060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B3201"/>
    <w:multiLevelType w:val="hybridMultilevel"/>
    <w:tmpl w:val="969C7D68"/>
    <w:lvl w:ilvl="0" w:tplc="9ADC5F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9608B"/>
    <w:multiLevelType w:val="hybridMultilevel"/>
    <w:tmpl w:val="4986EA0E"/>
    <w:lvl w:ilvl="0" w:tplc="D2E2B830">
      <w:start w:val="1"/>
      <w:numFmt w:val="bullet"/>
      <w:lvlText w:val=""/>
      <w:lvlJc w:val="left"/>
      <w:pPr>
        <w:ind w:left="502" w:hanging="360"/>
      </w:pPr>
      <w:rPr>
        <w:rFonts w:ascii="Symbol" w:hAnsi="Symbol" w:hint="default"/>
        <w:color w:val="FFFFFF" w:themeColor="background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98F0695"/>
    <w:multiLevelType w:val="hybridMultilevel"/>
    <w:tmpl w:val="80301B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A053B40"/>
    <w:multiLevelType w:val="hybridMultilevel"/>
    <w:tmpl w:val="A0C8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B0780"/>
    <w:multiLevelType w:val="hybridMultilevel"/>
    <w:tmpl w:val="C2106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3D2DC7"/>
    <w:multiLevelType w:val="hybridMultilevel"/>
    <w:tmpl w:val="E87C6C36"/>
    <w:lvl w:ilvl="0" w:tplc="6DA4928E">
      <w:start w:val="4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D57FA4"/>
    <w:multiLevelType w:val="hybridMultilevel"/>
    <w:tmpl w:val="F6C2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2420E"/>
    <w:multiLevelType w:val="hybridMultilevel"/>
    <w:tmpl w:val="C1EC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4"/>
  </w:num>
  <w:num w:numId="7">
    <w:abstractNumId w:val="19"/>
  </w:num>
  <w:num w:numId="8">
    <w:abstractNumId w:val="16"/>
  </w:num>
  <w:num w:numId="9">
    <w:abstractNumId w:val="13"/>
  </w:num>
  <w:num w:numId="10">
    <w:abstractNumId w:val="0"/>
  </w:num>
  <w:num w:numId="11">
    <w:abstractNumId w:val="10"/>
  </w:num>
  <w:num w:numId="12">
    <w:abstractNumId w:val="11"/>
  </w:num>
  <w:num w:numId="13">
    <w:abstractNumId w:val="17"/>
  </w:num>
  <w:num w:numId="14">
    <w:abstractNumId w:val="8"/>
  </w:num>
  <w:num w:numId="15">
    <w:abstractNumId w:val="14"/>
  </w:num>
  <w:num w:numId="16">
    <w:abstractNumId w:val="6"/>
  </w:num>
  <w:num w:numId="17">
    <w:abstractNumId w:val="5"/>
  </w:num>
  <w:num w:numId="18">
    <w:abstractNumId w:val="7"/>
  </w:num>
  <w:num w:numId="19">
    <w:abstractNumId w:val="3"/>
  </w:num>
  <w:num w:numId="20">
    <w:abstractNumId w:val="2"/>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2"/>
    <w:rsid w:val="00004789"/>
    <w:rsid w:val="0000485F"/>
    <w:rsid w:val="000127C3"/>
    <w:rsid w:val="000239E8"/>
    <w:rsid w:val="00025B33"/>
    <w:rsid w:val="00030E23"/>
    <w:rsid w:val="000347EF"/>
    <w:rsid w:val="00043A82"/>
    <w:rsid w:val="00045267"/>
    <w:rsid w:val="00045A33"/>
    <w:rsid w:val="000466F3"/>
    <w:rsid w:val="00055304"/>
    <w:rsid w:val="000572DA"/>
    <w:rsid w:val="00062479"/>
    <w:rsid w:val="0008308C"/>
    <w:rsid w:val="00093126"/>
    <w:rsid w:val="00096B34"/>
    <w:rsid w:val="00096ED8"/>
    <w:rsid w:val="000A0D02"/>
    <w:rsid w:val="000A3C6E"/>
    <w:rsid w:val="000A447D"/>
    <w:rsid w:val="000A6324"/>
    <w:rsid w:val="000A77EF"/>
    <w:rsid w:val="000B1D32"/>
    <w:rsid w:val="000B57EC"/>
    <w:rsid w:val="000C076E"/>
    <w:rsid w:val="000C2414"/>
    <w:rsid w:val="000C433A"/>
    <w:rsid w:val="000C50CD"/>
    <w:rsid w:val="000C6156"/>
    <w:rsid w:val="000D5B7A"/>
    <w:rsid w:val="000E0934"/>
    <w:rsid w:val="000E2594"/>
    <w:rsid w:val="000F06E4"/>
    <w:rsid w:val="000F092A"/>
    <w:rsid w:val="000F22C0"/>
    <w:rsid w:val="000F6994"/>
    <w:rsid w:val="00105B34"/>
    <w:rsid w:val="00105C7C"/>
    <w:rsid w:val="00120D24"/>
    <w:rsid w:val="001212FE"/>
    <w:rsid w:val="0012192D"/>
    <w:rsid w:val="00123598"/>
    <w:rsid w:val="00142360"/>
    <w:rsid w:val="0014442F"/>
    <w:rsid w:val="00146D10"/>
    <w:rsid w:val="0015166C"/>
    <w:rsid w:val="00162E19"/>
    <w:rsid w:val="0016442C"/>
    <w:rsid w:val="00170686"/>
    <w:rsid w:val="00172C80"/>
    <w:rsid w:val="00175689"/>
    <w:rsid w:val="00176479"/>
    <w:rsid w:val="001770CE"/>
    <w:rsid w:val="00182F9D"/>
    <w:rsid w:val="00192160"/>
    <w:rsid w:val="00194FD0"/>
    <w:rsid w:val="001951EA"/>
    <w:rsid w:val="001A0FB4"/>
    <w:rsid w:val="001C0052"/>
    <w:rsid w:val="001C0921"/>
    <w:rsid w:val="001C32F6"/>
    <w:rsid w:val="001C5AB2"/>
    <w:rsid w:val="001C7EBE"/>
    <w:rsid w:val="001D2B7A"/>
    <w:rsid w:val="001D472E"/>
    <w:rsid w:val="001E0FE4"/>
    <w:rsid w:val="001F0C4D"/>
    <w:rsid w:val="0020131E"/>
    <w:rsid w:val="0020789F"/>
    <w:rsid w:val="00207F18"/>
    <w:rsid w:val="00223D26"/>
    <w:rsid w:val="002259E5"/>
    <w:rsid w:val="00225B0C"/>
    <w:rsid w:val="00226DAA"/>
    <w:rsid w:val="00226ED0"/>
    <w:rsid w:val="0023039C"/>
    <w:rsid w:val="002316ED"/>
    <w:rsid w:val="0023425B"/>
    <w:rsid w:val="00235736"/>
    <w:rsid w:val="0024006D"/>
    <w:rsid w:val="002403AE"/>
    <w:rsid w:val="002427A4"/>
    <w:rsid w:val="002432A8"/>
    <w:rsid w:val="00271739"/>
    <w:rsid w:val="00271E70"/>
    <w:rsid w:val="00273D29"/>
    <w:rsid w:val="002754AF"/>
    <w:rsid w:val="00277FA7"/>
    <w:rsid w:val="00295DCF"/>
    <w:rsid w:val="002A17CA"/>
    <w:rsid w:val="002A6E3C"/>
    <w:rsid w:val="002B618A"/>
    <w:rsid w:val="002B631A"/>
    <w:rsid w:val="002C392B"/>
    <w:rsid w:val="002C602E"/>
    <w:rsid w:val="002D4E4F"/>
    <w:rsid w:val="002D6BA2"/>
    <w:rsid w:val="002F593B"/>
    <w:rsid w:val="002F601B"/>
    <w:rsid w:val="003026E8"/>
    <w:rsid w:val="00303474"/>
    <w:rsid w:val="0031379E"/>
    <w:rsid w:val="0031594C"/>
    <w:rsid w:val="00321538"/>
    <w:rsid w:val="00322DAD"/>
    <w:rsid w:val="003257E5"/>
    <w:rsid w:val="00326826"/>
    <w:rsid w:val="003349E6"/>
    <w:rsid w:val="00337995"/>
    <w:rsid w:val="00344F3B"/>
    <w:rsid w:val="00346CA5"/>
    <w:rsid w:val="00355F3A"/>
    <w:rsid w:val="00356602"/>
    <w:rsid w:val="00357D5A"/>
    <w:rsid w:val="0036123C"/>
    <w:rsid w:val="00375ED3"/>
    <w:rsid w:val="00376120"/>
    <w:rsid w:val="00376886"/>
    <w:rsid w:val="00377078"/>
    <w:rsid w:val="00377688"/>
    <w:rsid w:val="003829A6"/>
    <w:rsid w:val="0038627B"/>
    <w:rsid w:val="003A0C97"/>
    <w:rsid w:val="003A2195"/>
    <w:rsid w:val="003A3ADD"/>
    <w:rsid w:val="003A4C7A"/>
    <w:rsid w:val="003A56E3"/>
    <w:rsid w:val="003A61EF"/>
    <w:rsid w:val="003B366D"/>
    <w:rsid w:val="003B66DD"/>
    <w:rsid w:val="003C03AE"/>
    <w:rsid w:val="003C12D0"/>
    <w:rsid w:val="003C1D9A"/>
    <w:rsid w:val="003C6300"/>
    <w:rsid w:val="003D4F08"/>
    <w:rsid w:val="003D5487"/>
    <w:rsid w:val="003E0A2F"/>
    <w:rsid w:val="003E24FF"/>
    <w:rsid w:val="003E2545"/>
    <w:rsid w:val="003E3FAC"/>
    <w:rsid w:val="003E4D2C"/>
    <w:rsid w:val="003E5C34"/>
    <w:rsid w:val="003E65E9"/>
    <w:rsid w:val="003F5357"/>
    <w:rsid w:val="00402DB3"/>
    <w:rsid w:val="004048ED"/>
    <w:rsid w:val="00405714"/>
    <w:rsid w:val="004232FF"/>
    <w:rsid w:val="0042503D"/>
    <w:rsid w:val="004264FA"/>
    <w:rsid w:val="00433D6D"/>
    <w:rsid w:val="00434940"/>
    <w:rsid w:val="00435BC6"/>
    <w:rsid w:val="00436023"/>
    <w:rsid w:val="00453EAD"/>
    <w:rsid w:val="0045647D"/>
    <w:rsid w:val="00456588"/>
    <w:rsid w:val="00464837"/>
    <w:rsid w:val="00472496"/>
    <w:rsid w:val="00485021"/>
    <w:rsid w:val="00490EDE"/>
    <w:rsid w:val="004938E9"/>
    <w:rsid w:val="00495BFC"/>
    <w:rsid w:val="004A0C70"/>
    <w:rsid w:val="004A7419"/>
    <w:rsid w:val="004B22D6"/>
    <w:rsid w:val="004B263A"/>
    <w:rsid w:val="004B384D"/>
    <w:rsid w:val="004B4983"/>
    <w:rsid w:val="004B5D58"/>
    <w:rsid w:val="004B7977"/>
    <w:rsid w:val="004B7F5F"/>
    <w:rsid w:val="004C6B13"/>
    <w:rsid w:val="004D318F"/>
    <w:rsid w:val="004E18E3"/>
    <w:rsid w:val="004F4041"/>
    <w:rsid w:val="004F4F31"/>
    <w:rsid w:val="00501F75"/>
    <w:rsid w:val="00505B5A"/>
    <w:rsid w:val="0051422F"/>
    <w:rsid w:val="0051501B"/>
    <w:rsid w:val="00517188"/>
    <w:rsid w:val="00521057"/>
    <w:rsid w:val="00523A20"/>
    <w:rsid w:val="00524937"/>
    <w:rsid w:val="00533DC5"/>
    <w:rsid w:val="00534337"/>
    <w:rsid w:val="005362CE"/>
    <w:rsid w:val="005405DB"/>
    <w:rsid w:val="00543547"/>
    <w:rsid w:val="00550324"/>
    <w:rsid w:val="005504F5"/>
    <w:rsid w:val="00574468"/>
    <w:rsid w:val="0057579B"/>
    <w:rsid w:val="00577A3C"/>
    <w:rsid w:val="00577EB0"/>
    <w:rsid w:val="00580026"/>
    <w:rsid w:val="00580236"/>
    <w:rsid w:val="00583C0D"/>
    <w:rsid w:val="00585089"/>
    <w:rsid w:val="00595915"/>
    <w:rsid w:val="005A4DD9"/>
    <w:rsid w:val="005A66F7"/>
    <w:rsid w:val="005A7610"/>
    <w:rsid w:val="005B0850"/>
    <w:rsid w:val="005B1BDF"/>
    <w:rsid w:val="005B5095"/>
    <w:rsid w:val="005C0C24"/>
    <w:rsid w:val="005D50BB"/>
    <w:rsid w:val="005E7728"/>
    <w:rsid w:val="005F1937"/>
    <w:rsid w:val="005F7AFB"/>
    <w:rsid w:val="006021F1"/>
    <w:rsid w:val="00603A30"/>
    <w:rsid w:val="0060670F"/>
    <w:rsid w:val="00613E7E"/>
    <w:rsid w:val="0061689A"/>
    <w:rsid w:val="00622C52"/>
    <w:rsid w:val="00625255"/>
    <w:rsid w:val="0062601C"/>
    <w:rsid w:val="00627358"/>
    <w:rsid w:val="0063057E"/>
    <w:rsid w:val="00633F31"/>
    <w:rsid w:val="00643B1B"/>
    <w:rsid w:val="00645717"/>
    <w:rsid w:val="00646D32"/>
    <w:rsid w:val="00667CD0"/>
    <w:rsid w:val="0067475F"/>
    <w:rsid w:val="006759D1"/>
    <w:rsid w:val="0068066F"/>
    <w:rsid w:val="00683D97"/>
    <w:rsid w:val="00690201"/>
    <w:rsid w:val="00691386"/>
    <w:rsid w:val="00696478"/>
    <w:rsid w:val="006A121D"/>
    <w:rsid w:val="006C0FFD"/>
    <w:rsid w:val="006C37B2"/>
    <w:rsid w:val="006D0690"/>
    <w:rsid w:val="006D203C"/>
    <w:rsid w:val="006D5E6C"/>
    <w:rsid w:val="006E1457"/>
    <w:rsid w:val="006E31F0"/>
    <w:rsid w:val="006E60BE"/>
    <w:rsid w:val="006E719E"/>
    <w:rsid w:val="006F2940"/>
    <w:rsid w:val="006F2F88"/>
    <w:rsid w:val="00703161"/>
    <w:rsid w:val="0070641C"/>
    <w:rsid w:val="00722F87"/>
    <w:rsid w:val="007242EE"/>
    <w:rsid w:val="007274E4"/>
    <w:rsid w:val="00745AD0"/>
    <w:rsid w:val="00753D2B"/>
    <w:rsid w:val="007549C6"/>
    <w:rsid w:val="0075524E"/>
    <w:rsid w:val="007622FB"/>
    <w:rsid w:val="007676B0"/>
    <w:rsid w:val="00767CC2"/>
    <w:rsid w:val="00771447"/>
    <w:rsid w:val="007752EA"/>
    <w:rsid w:val="00775A60"/>
    <w:rsid w:val="00776177"/>
    <w:rsid w:val="007776DC"/>
    <w:rsid w:val="0078458B"/>
    <w:rsid w:val="00785097"/>
    <w:rsid w:val="00787817"/>
    <w:rsid w:val="00787B30"/>
    <w:rsid w:val="007A130F"/>
    <w:rsid w:val="007A5291"/>
    <w:rsid w:val="007B1D83"/>
    <w:rsid w:val="007B3AA2"/>
    <w:rsid w:val="007B44DE"/>
    <w:rsid w:val="007B7E2E"/>
    <w:rsid w:val="007C3F01"/>
    <w:rsid w:val="007D2AD1"/>
    <w:rsid w:val="007D5560"/>
    <w:rsid w:val="007E0636"/>
    <w:rsid w:val="007E32E5"/>
    <w:rsid w:val="007E3A9E"/>
    <w:rsid w:val="007E5123"/>
    <w:rsid w:val="007E711E"/>
    <w:rsid w:val="007F310B"/>
    <w:rsid w:val="007F6EAB"/>
    <w:rsid w:val="008013E3"/>
    <w:rsid w:val="00804435"/>
    <w:rsid w:val="00804E9A"/>
    <w:rsid w:val="008130D8"/>
    <w:rsid w:val="00815BDB"/>
    <w:rsid w:val="00830179"/>
    <w:rsid w:val="00832AF4"/>
    <w:rsid w:val="00840E9E"/>
    <w:rsid w:val="00843998"/>
    <w:rsid w:val="00854565"/>
    <w:rsid w:val="00856E4C"/>
    <w:rsid w:val="0087123F"/>
    <w:rsid w:val="008744CA"/>
    <w:rsid w:val="00880549"/>
    <w:rsid w:val="008815A3"/>
    <w:rsid w:val="008859C8"/>
    <w:rsid w:val="00885F04"/>
    <w:rsid w:val="008A6315"/>
    <w:rsid w:val="008A6C0F"/>
    <w:rsid w:val="008B1748"/>
    <w:rsid w:val="008B352E"/>
    <w:rsid w:val="008B3C5A"/>
    <w:rsid w:val="008B4197"/>
    <w:rsid w:val="008B5EBE"/>
    <w:rsid w:val="008C3459"/>
    <w:rsid w:val="008C3DBC"/>
    <w:rsid w:val="008C6D09"/>
    <w:rsid w:val="008E7825"/>
    <w:rsid w:val="008E7D4B"/>
    <w:rsid w:val="008F0AB7"/>
    <w:rsid w:val="008F101C"/>
    <w:rsid w:val="008F1022"/>
    <w:rsid w:val="0090271E"/>
    <w:rsid w:val="0090286D"/>
    <w:rsid w:val="00915BC5"/>
    <w:rsid w:val="0092439A"/>
    <w:rsid w:val="00924774"/>
    <w:rsid w:val="00932C06"/>
    <w:rsid w:val="00937B5B"/>
    <w:rsid w:val="00943760"/>
    <w:rsid w:val="009538C0"/>
    <w:rsid w:val="009618ED"/>
    <w:rsid w:val="00967E4C"/>
    <w:rsid w:val="0097176F"/>
    <w:rsid w:val="009729E3"/>
    <w:rsid w:val="00981A76"/>
    <w:rsid w:val="00982574"/>
    <w:rsid w:val="0098504C"/>
    <w:rsid w:val="00991957"/>
    <w:rsid w:val="0099554A"/>
    <w:rsid w:val="009A28C0"/>
    <w:rsid w:val="009A5DF9"/>
    <w:rsid w:val="009A7BEF"/>
    <w:rsid w:val="009B43EB"/>
    <w:rsid w:val="009C1499"/>
    <w:rsid w:val="009D7361"/>
    <w:rsid w:val="009E4C2C"/>
    <w:rsid w:val="009E646A"/>
    <w:rsid w:val="009E724A"/>
    <w:rsid w:val="009E7981"/>
    <w:rsid w:val="009F1238"/>
    <w:rsid w:val="009F286B"/>
    <w:rsid w:val="009F6422"/>
    <w:rsid w:val="00A060A8"/>
    <w:rsid w:val="00A15D22"/>
    <w:rsid w:val="00A257FD"/>
    <w:rsid w:val="00A31C47"/>
    <w:rsid w:val="00A3673B"/>
    <w:rsid w:val="00A46905"/>
    <w:rsid w:val="00A472FB"/>
    <w:rsid w:val="00A7604D"/>
    <w:rsid w:val="00A8427C"/>
    <w:rsid w:val="00A86775"/>
    <w:rsid w:val="00A96C5D"/>
    <w:rsid w:val="00AA1BAF"/>
    <w:rsid w:val="00AA1DD1"/>
    <w:rsid w:val="00AA2E86"/>
    <w:rsid w:val="00AA2F12"/>
    <w:rsid w:val="00AA559F"/>
    <w:rsid w:val="00AA6C3E"/>
    <w:rsid w:val="00AB18E5"/>
    <w:rsid w:val="00AB6EFB"/>
    <w:rsid w:val="00AC4307"/>
    <w:rsid w:val="00AC772E"/>
    <w:rsid w:val="00AD062A"/>
    <w:rsid w:val="00AD0FD5"/>
    <w:rsid w:val="00AE32E3"/>
    <w:rsid w:val="00AF3CEB"/>
    <w:rsid w:val="00AF3DE4"/>
    <w:rsid w:val="00B001FD"/>
    <w:rsid w:val="00B021D4"/>
    <w:rsid w:val="00B043FD"/>
    <w:rsid w:val="00B219B2"/>
    <w:rsid w:val="00B22C3B"/>
    <w:rsid w:val="00B22C4A"/>
    <w:rsid w:val="00B2374C"/>
    <w:rsid w:val="00B258DF"/>
    <w:rsid w:val="00B31790"/>
    <w:rsid w:val="00B34CFB"/>
    <w:rsid w:val="00B35059"/>
    <w:rsid w:val="00B351EF"/>
    <w:rsid w:val="00B3654F"/>
    <w:rsid w:val="00B44A3B"/>
    <w:rsid w:val="00B461B6"/>
    <w:rsid w:val="00B46F31"/>
    <w:rsid w:val="00B4741A"/>
    <w:rsid w:val="00B50D88"/>
    <w:rsid w:val="00B55F68"/>
    <w:rsid w:val="00B60AAE"/>
    <w:rsid w:val="00B619DC"/>
    <w:rsid w:val="00B6697B"/>
    <w:rsid w:val="00B77568"/>
    <w:rsid w:val="00B77635"/>
    <w:rsid w:val="00B86106"/>
    <w:rsid w:val="00B86F45"/>
    <w:rsid w:val="00B872AA"/>
    <w:rsid w:val="00B91B4F"/>
    <w:rsid w:val="00B94140"/>
    <w:rsid w:val="00BA01C2"/>
    <w:rsid w:val="00BA1508"/>
    <w:rsid w:val="00BB53A0"/>
    <w:rsid w:val="00BB6848"/>
    <w:rsid w:val="00BB7DC9"/>
    <w:rsid w:val="00BC487C"/>
    <w:rsid w:val="00BD0946"/>
    <w:rsid w:val="00BD3DB6"/>
    <w:rsid w:val="00BE5A30"/>
    <w:rsid w:val="00BE5E83"/>
    <w:rsid w:val="00BF1FB9"/>
    <w:rsid w:val="00BF210E"/>
    <w:rsid w:val="00BF372A"/>
    <w:rsid w:val="00BF55DF"/>
    <w:rsid w:val="00BF65E1"/>
    <w:rsid w:val="00BF68A4"/>
    <w:rsid w:val="00C000BF"/>
    <w:rsid w:val="00C0045F"/>
    <w:rsid w:val="00C00704"/>
    <w:rsid w:val="00C14960"/>
    <w:rsid w:val="00C20E14"/>
    <w:rsid w:val="00C275CB"/>
    <w:rsid w:val="00C359C1"/>
    <w:rsid w:val="00C36D06"/>
    <w:rsid w:val="00C37B5C"/>
    <w:rsid w:val="00C440F8"/>
    <w:rsid w:val="00C4639B"/>
    <w:rsid w:val="00C46EB7"/>
    <w:rsid w:val="00C5277E"/>
    <w:rsid w:val="00C55E64"/>
    <w:rsid w:val="00C57CD6"/>
    <w:rsid w:val="00C731C3"/>
    <w:rsid w:val="00C75077"/>
    <w:rsid w:val="00C80482"/>
    <w:rsid w:val="00C81792"/>
    <w:rsid w:val="00C82124"/>
    <w:rsid w:val="00C86244"/>
    <w:rsid w:val="00C900A4"/>
    <w:rsid w:val="00CA3A22"/>
    <w:rsid w:val="00CA70CF"/>
    <w:rsid w:val="00CB0F6D"/>
    <w:rsid w:val="00CB4AB4"/>
    <w:rsid w:val="00CB6EDA"/>
    <w:rsid w:val="00CC5756"/>
    <w:rsid w:val="00CD0144"/>
    <w:rsid w:val="00CD0407"/>
    <w:rsid w:val="00CD234D"/>
    <w:rsid w:val="00CD4406"/>
    <w:rsid w:val="00CD5D4D"/>
    <w:rsid w:val="00CE0978"/>
    <w:rsid w:val="00CE2272"/>
    <w:rsid w:val="00CE35C1"/>
    <w:rsid w:val="00CF0456"/>
    <w:rsid w:val="00CF347F"/>
    <w:rsid w:val="00CF61D8"/>
    <w:rsid w:val="00D0078E"/>
    <w:rsid w:val="00D0585A"/>
    <w:rsid w:val="00D1183D"/>
    <w:rsid w:val="00D11AC3"/>
    <w:rsid w:val="00D13AB2"/>
    <w:rsid w:val="00D150EF"/>
    <w:rsid w:val="00D177B2"/>
    <w:rsid w:val="00D2220A"/>
    <w:rsid w:val="00D2656A"/>
    <w:rsid w:val="00D3416F"/>
    <w:rsid w:val="00D3689A"/>
    <w:rsid w:val="00D37C7D"/>
    <w:rsid w:val="00D4045A"/>
    <w:rsid w:val="00D43DE6"/>
    <w:rsid w:val="00D4488E"/>
    <w:rsid w:val="00D53FF0"/>
    <w:rsid w:val="00D55302"/>
    <w:rsid w:val="00D60FC2"/>
    <w:rsid w:val="00D64385"/>
    <w:rsid w:val="00D653D9"/>
    <w:rsid w:val="00D83098"/>
    <w:rsid w:val="00D85E30"/>
    <w:rsid w:val="00D869E3"/>
    <w:rsid w:val="00D907E9"/>
    <w:rsid w:val="00D90A91"/>
    <w:rsid w:val="00D95449"/>
    <w:rsid w:val="00D97E8F"/>
    <w:rsid w:val="00DA0C26"/>
    <w:rsid w:val="00DA2060"/>
    <w:rsid w:val="00DA7461"/>
    <w:rsid w:val="00DB1F48"/>
    <w:rsid w:val="00DC6D7D"/>
    <w:rsid w:val="00DD2309"/>
    <w:rsid w:val="00DD28AB"/>
    <w:rsid w:val="00DD331E"/>
    <w:rsid w:val="00DD3A46"/>
    <w:rsid w:val="00DD44E3"/>
    <w:rsid w:val="00DD7014"/>
    <w:rsid w:val="00DE12C6"/>
    <w:rsid w:val="00DF2FCD"/>
    <w:rsid w:val="00E03ADE"/>
    <w:rsid w:val="00E05F03"/>
    <w:rsid w:val="00E10890"/>
    <w:rsid w:val="00E14643"/>
    <w:rsid w:val="00E16168"/>
    <w:rsid w:val="00E17406"/>
    <w:rsid w:val="00E26242"/>
    <w:rsid w:val="00E264E0"/>
    <w:rsid w:val="00E275C9"/>
    <w:rsid w:val="00E341FD"/>
    <w:rsid w:val="00E40258"/>
    <w:rsid w:val="00E43D77"/>
    <w:rsid w:val="00E501E8"/>
    <w:rsid w:val="00E507AE"/>
    <w:rsid w:val="00E5110A"/>
    <w:rsid w:val="00E524D3"/>
    <w:rsid w:val="00E5712C"/>
    <w:rsid w:val="00E62731"/>
    <w:rsid w:val="00E72EEE"/>
    <w:rsid w:val="00E76020"/>
    <w:rsid w:val="00E76BD4"/>
    <w:rsid w:val="00E8004B"/>
    <w:rsid w:val="00E808AE"/>
    <w:rsid w:val="00E83DAC"/>
    <w:rsid w:val="00E923FB"/>
    <w:rsid w:val="00E930F6"/>
    <w:rsid w:val="00E93657"/>
    <w:rsid w:val="00E947A6"/>
    <w:rsid w:val="00E9528E"/>
    <w:rsid w:val="00E95DAF"/>
    <w:rsid w:val="00E97233"/>
    <w:rsid w:val="00E97AA0"/>
    <w:rsid w:val="00EA1670"/>
    <w:rsid w:val="00EB12F0"/>
    <w:rsid w:val="00EB6617"/>
    <w:rsid w:val="00EB6FB2"/>
    <w:rsid w:val="00EB7A27"/>
    <w:rsid w:val="00EC78A5"/>
    <w:rsid w:val="00ED07A2"/>
    <w:rsid w:val="00ED4355"/>
    <w:rsid w:val="00ED6FEB"/>
    <w:rsid w:val="00EF199D"/>
    <w:rsid w:val="00EF1DB0"/>
    <w:rsid w:val="00EF297D"/>
    <w:rsid w:val="00EF53C2"/>
    <w:rsid w:val="00EF5C86"/>
    <w:rsid w:val="00F0385E"/>
    <w:rsid w:val="00F03A85"/>
    <w:rsid w:val="00F0740C"/>
    <w:rsid w:val="00F077D5"/>
    <w:rsid w:val="00F10231"/>
    <w:rsid w:val="00F10432"/>
    <w:rsid w:val="00F119C7"/>
    <w:rsid w:val="00F17171"/>
    <w:rsid w:val="00F1747A"/>
    <w:rsid w:val="00F26EFB"/>
    <w:rsid w:val="00F319BA"/>
    <w:rsid w:val="00F405DC"/>
    <w:rsid w:val="00F42C88"/>
    <w:rsid w:val="00F55446"/>
    <w:rsid w:val="00F644AB"/>
    <w:rsid w:val="00F85271"/>
    <w:rsid w:val="00F85300"/>
    <w:rsid w:val="00F87D26"/>
    <w:rsid w:val="00F905A1"/>
    <w:rsid w:val="00F96DAF"/>
    <w:rsid w:val="00F976F4"/>
    <w:rsid w:val="00FA171D"/>
    <w:rsid w:val="00FA2FDB"/>
    <w:rsid w:val="00FB4B46"/>
    <w:rsid w:val="00FB675F"/>
    <w:rsid w:val="00FB778D"/>
    <w:rsid w:val="00FC141C"/>
    <w:rsid w:val="00FC237B"/>
    <w:rsid w:val="00FC34CF"/>
    <w:rsid w:val="00FD300D"/>
    <w:rsid w:val="00FD3AE9"/>
    <w:rsid w:val="00FD4909"/>
    <w:rsid w:val="00FD6A53"/>
    <w:rsid w:val="00FE2145"/>
    <w:rsid w:val="00FE5E52"/>
    <w:rsid w:val="00FE6CE2"/>
    <w:rsid w:val="00FF17A4"/>
    <w:rsid w:val="00FF4237"/>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B3DE6"/>
  <w15:chartTrackingRefBased/>
  <w15:docId w15:val="{6CA8592F-B7A7-41E5-BC00-2959F76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link w:val="Heading2Char"/>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ind w:right="-360"/>
      <w:jc w:val="both"/>
    </w:pPr>
    <w:rPr>
      <w:bCs/>
      <w:sz w:val="24"/>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semiHidden/>
    <w:pPr>
      <w:jc w:val="both"/>
    </w:pPr>
    <w:rPr>
      <w:sz w:val="24"/>
    </w:rPr>
  </w:style>
  <w:style w:type="paragraph" w:styleId="NormalWeb">
    <w:name w:val="Normal (Web)"/>
    <w:basedOn w:val="Normal"/>
    <w:semiHidden/>
    <w:pPr>
      <w:spacing w:before="100" w:beforeAutospacing="1" w:after="100" w:afterAutospacing="1"/>
    </w:pPr>
    <w:rPr>
      <w:rFonts w:ascii="Times New Roman" w:hAnsi="Times New Roman" w:cs="Times New Roman"/>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76020"/>
    <w:rPr>
      <w:rFonts w:ascii="Segoe UI" w:hAnsi="Segoe UI" w:cs="Segoe UI"/>
      <w:sz w:val="18"/>
      <w:szCs w:val="18"/>
    </w:rPr>
  </w:style>
  <w:style w:type="character" w:customStyle="1" w:styleId="BalloonTextChar">
    <w:name w:val="Balloon Text Char"/>
    <w:link w:val="BalloonText"/>
    <w:uiPriority w:val="99"/>
    <w:semiHidden/>
    <w:rsid w:val="00E76020"/>
    <w:rPr>
      <w:rFonts w:ascii="Segoe UI" w:hAnsi="Segoe UI" w:cs="Segoe UI"/>
      <w:sz w:val="18"/>
      <w:szCs w:val="18"/>
      <w:lang w:eastAsia="en-US"/>
    </w:rPr>
  </w:style>
  <w:style w:type="paragraph" w:styleId="NoSpacing">
    <w:name w:val="No Spacing"/>
    <w:uiPriority w:val="1"/>
    <w:qFormat/>
    <w:rsid w:val="00142360"/>
    <w:rPr>
      <w:rFonts w:ascii="Arial" w:hAnsi="Arial" w:cs="Arial"/>
      <w:sz w:val="22"/>
      <w:szCs w:val="24"/>
      <w:lang w:eastAsia="en-US"/>
    </w:rPr>
  </w:style>
  <w:style w:type="character" w:customStyle="1" w:styleId="FooterChar">
    <w:name w:val="Footer Char"/>
    <w:basedOn w:val="DefaultParagraphFont"/>
    <w:link w:val="Footer"/>
    <w:uiPriority w:val="99"/>
    <w:rsid w:val="00142360"/>
    <w:rPr>
      <w:rFonts w:ascii="Arial" w:hAnsi="Arial" w:cs="Arial"/>
      <w:sz w:val="22"/>
      <w:szCs w:val="24"/>
      <w:lang w:eastAsia="en-US"/>
    </w:rPr>
  </w:style>
  <w:style w:type="character" w:styleId="UnresolvedMention">
    <w:name w:val="Unresolved Mention"/>
    <w:basedOn w:val="DefaultParagraphFont"/>
    <w:uiPriority w:val="99"/>
    <w:semiHidden/>
    <w:unhideWhenUsed/>
    <w:rsid w:val="009C1499"/>
    <w:rPr>
      <w:color w:val="605E5C"/>
      <w:shd w:val="clear" w:color="auto" w:fill="E1DFDD"/>
    </w:rPr>
  </w:style>
  <w:style w:type="paragraph" w:styleId="ListParagraph">
    <w:name w:val="List Paragraph"/>
    <w:basedOn w:val="Normal"/>
    <w:uiPriority w:val="34"/>
    <w:qFormat/>
    <w:rsid w:val="00856E4C"/>
    <w:pPr>
      <w:ind w:left="720"/>
    </w:pPr>
    <w:rPr>
      <w:rFonts w:ascii="Calibri" w:eastAsiaTheme="minorHAnsi" w:hAnsi="Calibri" w:cs="Calibri"/>
      <w:szCs w:val="22"/>
    </w:rPr>
  </w:style>
  <w:style w:type="paragraph" w:styleId="FootnoteText">
    <w:name w:val="footnote text"/>
    <w:basedOn w:val="Normal"/>
    <w:link w:val="FootnoteTextChar"/>
    <w:uiPriority w:val="99"/>
    <w:unhideWhenUsed/>
    <w:rsid w:val="00B91B4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91B4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91B4F"/>
    <w:rPr>
      <w:vertAlign w:val="superscript"/>
    </w:rPr>
  </w:style>
  <w:style w:type="character" w:styleId="FollowedHyperlink">
    <w:name w:val="FollowedHyperlink"/>
    <w:basedOn w:val="DefaultParagraphFont"/>
    <w:uiPriority w:val="99"/>
    <w:semiHidden/>
    <w:unhideWhenUsed/>
    <w:rsid w:val="00B91B4F"/>
    <w:rPr>
      <w:color w:val="954F72" w:themeColor="followedHyperlink"/>
      <w:u w:val="single"/>
    </w:rPr>
  </w:style>
  <w:style w:type="character" w:customStyle="1" w:styleId="Heading2Char">
    <w:name w:val="Heading 2 Char"/>
    <w:basedOn w:val="DefaultParagraphFont"/>
    <w:link w:val="Heading2"/>
    <w:rsid w:val="00FC141C"/>
    <w:rPr>
      <w:rFonts w:ascii="Arial" w:hAnsi="Arial" w:cs="Arial"/>
      <w:sz w:val="28"/>
      <w:szCs w:val="24"/>
      <w:lang w:eastAsia="en-US"/>
    </w:rPr>
  </w:style>
  <w:style w:type="table" w:styleId="TableGrid">
    <w:name w:val="Table Grid"/>
    <w:basedOn w:val="TableNormal"/>
    <w:uiPriority w:val="39"/>
    <w:rsid w:val="00E16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960"/>
    <w:rPr>
      <w:sz w:val="16"/>
      <w:szCs w:val="16"/>
    </w:rPr>
  </w:style>
  <w:style w:type="paragraph" w:styleId="CommentText">
    <w:name w:val="annotation text"/>
    <w:basedOn w:val="Normal"/>
    <w:link w:val="CommentTextChar"/>
    <w:uiPriority w:val="99"/>
    <w:semiHidden/>
    <w:unhideWhenUsed/>
    <w:rsid w:val="00C14960"/>
    <w:rPr>
      <w:sz w:val="20"/>
      <w:szCs w:val="20"/>
    </w:rPr>
  </w:style>
  <w:style w:type="character" w:customStyle="1" w:styleId="CommentTextChar">
    <w:name w:val="Comment Text Char"/>
    <w:basedOn w:val="DefaultParagraphFont"/>
    <w:link w:val="CommentText"/>
    <w:uiPriority w:val="99"/>
    <w:semiHidden/>
    <w:rsid w:val="00C1496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14960"/>
    <w:rPr>
      <w:b/>
      <w:bCs/>
    </w:rPr>
  </w:style>
  <w:style w:type="character" w:customStyle="1" w:styleId="CommentSubjectChar">
    <w:name w:val="Comment Subject Char"/>
    <w:basedOn w:val="CommentTextChar"/>
    <w:link w:val="CommentSubject"/>
    <w:uiPriority w:val="99"/>
    <w:semiHidden/>
    <w:rsid w:val="00C1496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210">
      <w:bodyDiv w:val="1"/>
      <w:marLeft w:val="0"/>
      <w:marRight w:val="0"/>
      <w:marTop w:val="0"/>
      <w:marBottom w:val="0"/>
      <w:divBdr>
        <w:top w:val="none" w:sz="0" w:space="0" w:color="auto"/>
        <w:left w:val="none" w:sz="0" w:space="0" w:color="auto"/>
        <w:bottom w:val="none" w:sz="0" w:space="0" w:color="auto"/>
        <w:right w:val="none" w:sz="0" w:space="0" w:color="auto"/>
      </w:divBdr>
    </w:div>
    <w:div w:id="262999346">
      <w:bodyDiv w:val="1"/>
      <w:marLeft w:val="0"/>
      <w:marRight w:val="0"/>
      <w:marTop w:val="0"/>
      <w:marBottom w:val="0"/>
      <w:divBdr>
        <w:top w:val="none" w:sz="0" w:space="0" w:color="auto"/>
        <w:left w:val="none" w:sz="0" w:space="0" w:color="auto"/>
        <w:bottom w:val="none" w:sz="0" w:space="0" w:color="auto"/>
        <w:right w:val="none" w:sz="0" w:space="0" w:color="auto"/>
      </w:divBdr>
    </w:div>
    <w:div w:id="375544787">
      <w:bodyDiv w:val="1"/>
      <w:marLeft w:val="0"/>
      <w:marRight w:val="0"/>
      <w:marTop w:val="0"/>
      <w:marBottom w:val="0"/>
      <w:divBdr>
        <w:top w:val="none" w:sz="0" w:space="0" w:color="auto"/>
        <w:left w:val="none" w:sz="0" w:space="0" w:color="auto"/>
        <w:bottom w:val="none" w:sz="0" w:space="0" w:color="auto"/>
        <w:right w:val="none" w:sz="0" w:space="0" w:color="auto"/>
      </w:divBdr>
    </w:div>
    <w:div w:id="973681660">
      <w:bodyDiv w:val="1"/>
      <w:marLeft w:val="0"/>
      <w:marRight w:val="0"/>
      <w:marTop w:val="0"/>
      <w:marBottom w:val="0"/>
      <w:divBdr>
        <w:top w:val="none" w:sz="0" w:space="0" w:color="auto"/>
        <w:left w:val="none" w:sz="0" w:space="0" w:color="auto"/>
        <w:bottom w:val="none" w:sz="0" w:space="0" w:color="auto"/>
        <w:right w:val="none" w:sz="0" w:space="0" w:color="auto"/>
      </w:divBdr>
    </w:div>
    <w:div w:id="1146438887">
      <w:bodyDiv w:val="1"/>
      <w:marLeft w:val="0"/>
      <w:marRight w:val="0"/>
      <w:marTop w:val="0"/>
      <w:marBottom w:val="0"/>
      <w:divBdr>
        <w:top w:val="none" w:sz="0" w:space="0" w:color="auto"/>
        <w:left w:val="none" w:sz="0" w:space="0" w:color="auto"/>
        <w:bottom w:val="none" w:sz="0" w:space="0" w:color="auto"/>
        <w:right w:val="none" w:sz="0" w:space="0" w:color="auto"/>
      </w:divBdr>
    </w:div>
    <w:div w:id="1896424573">
      <w:bodyDiv w:val="1"/>
      <w:marLeft w:val="0"/>
      <w:marRight w:val="0"/>
      <w:marTop w:val="0"/>
      <w:marBottom w:val="0"/>
      <w:divBdr>
        <w:top w:val="none" w:sz="0" w:space="0" w:color="auto"/>
        <w:left w:val="none" w:sz="0" w:space="0" w:color="auto"/>
        <w:bottom w:val="none" w:sz="0" w:space="0" w:color="auto"/>
        <w:right w:val="none" w:sz="0" w:space="0" w:color="auto"/>
      </w:divBdr>
    </w:div>
    <w:div w:id="20800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tructionenquirer.com/2021/05/20/government-needs-an-extra-2-6m-tonnes-of-steel-for-projects/" TargetMode="External"/><Relationship Id="rId7" Type="http://schemas.openxmlformats.org/officeDocument/2006/relationships/hyperlink" Target="https://www.constructionenquirer.com/2021/05/20/government-needs-an-extra-2-6m-tonnes-of-steel-for-projects/" TargetMode="External"/><Relationship Id="rId2" Type="http://schemas.openxmlformats.org/officeDocument/2006/relationships/hyperlink" Target="https://www.trade-remedies.service.gov.uk/public/case/TF0006/submission/187accc2-e0e6-40b7-8d2f-fdc9b10d536d/" TargetMode="External"/><Relationship Id="rId1" Type="http://schemas.openxmlformats.org/officeDocument/2006/relationships/hyperlink" Target="https://www.gov.uk/government/publications/trade-remedies-notice-safeguard-measures-on-certain-steel-products-application-of-tariff-rate-quotas" TargetMode="External"/><Relationship Id="rId6" Type="http://schemas.openxmlformats.org/officeDocument/2006/relationships/hyperlink" Target="https://www.gov.uk/government/news/tra-publishes-final-recommendation-on-steel-safeguard-measures" TargetMode="External"/><Relationship Id="rId5" Type="http://schemas.openxmlformats.org/officeDocument/2006/relationships/hyperlink" Target="https://researchbriefings.files.parliament.uk/documents/CBP-7317/CBP-7317.pdf" TargetMode="External"/><Relationship Id="rId4" Type="http://schemas.openxmlformats.org/officeDocument/2006/relationships/hyperlink" Target="https://www.gov.uk/guidance/eu-steel-safeguard-quotas-following-uk-independence-tariff-stop-press-notice-5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Word]Sheet1!PivotTable5</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400" b="1"/>
              <a:t>Figure 1:Volume of EU</a:t>
            </a:r>
            <a:r>
              <a:rPr lang="en-GB" sz="1400" b="1" baseline="0"/>
              <a:t> and Non-EU </a:t>
            </a:r>
            <a:r>
              <a:rPr lang="en-GB" sz="1400" b="1"/>
              <a:t>Category</a:t>
            </a:r>
            <a:r>
              <a:rPr lang="en-GB" sz="1400" b="1" baseline="0"/>
              <a:t> 4 Steel Imports to the UK (kg)</a:t>
            </a:r>
            <a:endParaRPr lang="en-GB" sz="14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Sheet1!$B$3:$B$4</c:f>
              <c:strCache>
                <c:ptCount val="1"/>
                <c:pt idx="0">
                  <c:v>EU</c:v>
                </c:pt>
              </c:strCache>
            </c:strRef>
          </c:tx>
          <c:spPr>
            <a:ln w="28575" cap="rnd">
              <a:solidFill>
                <a:schemeClr val="accent1"/>
              </a:solidFill>
              <a:round/>
            </a:ln>
            <a:effectLst/>
          </c:spPr>
          <c:marker>
            <c:symbol val="none"/>
          </c:marker>
          <c:cat>
            <c:multiLvlStrRef>
              <c:f>Sheet1!$A$5:$A$81</c:f>
              <c:multiLvlStrCache>
                <c:ptCount val="70"/>
                <c:lvl>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c:v>
                  </c:pt>
                  <c:pt idx="13">
                    <c:v>February</c:v>
                  </c:pt>
                  <c:pt idx="14">
                    <c:v>March</c:v>
                  </c:pt>
                  <c:pt idx="15">
                    <c:v>April</c:v>
                  </c:pt>
                  <c:pt idx="16">
                    <c:v>May</c:v>
                  </c:pt>
                  <c:pt idx="17">
                    <c:v>June</c:v>
                  </c:pt>
                  <c:pt idx="18">
                    <c:v>July</c:v>
                  </c:pt>
                  <c:pt idx="19">
                    <c:v>August</c:v>
                  </c:pt>
                  <c:pt idx="20">
                    <c:v>September</c:v>
                  </c:pt>
                  <c:pt idx="21">
                    <c:v>October</c:v>
                  </c:pt>
                  <c:pt idx="22">
                    <c:v>November</c:v>
                  </c:pt>
                  <c:pt idx="23">
                    <c:v>December</c:v>
                  </c:pt>
                  <c:pt idx="24">
                    <c:v>January</c:v>
                  </c:pt>
                  <c:pt idx="25">
                    <c:v>February</c:v>
                  </c:pt>
                  <c:pt idx="26">
                    <c:v>March</c:v>
                  </c:pt>
                  <c:pt idx="27">
                    <c:v>April</c:v>
                  </c:pt>
                  <c:pt idx="28">
                    <c:v>May</c:v>
                  </c:pt>
                  <c:pt idx="29">
                    <c:v>June</c:v>
                  </c:pt>
                  <c:pt idx="30">
                    <c:v>July</c:v>
                  </c:pt>
                  <c:pt idx="31">
                    <c:v>August</c:v>
                  </c:pt>
                  <c:pt idx="32">
                    <c:v>September</c:v>
                  </c:pt>
                  <c:pt idx="33">
                    <c:v>October</c:v>
                  </c:pt>
                  <c:pt idx="34">
                    <c:v>November</c:v>
                  </c:pt>
                  <c:pt idx="35">
                    <c:v>December</c:v>
                  </c:pt>
                  <c:pt idx="36">
                    <c:v>January</c:v>
                  </c:pt>
                  <c:pt idx="37">
                    <c:v>February</c:v>
                  </c:pt>
                  <c:pt idx="38">
                    <c:v>March</c:v>
                  </c:pt>
                  <c:pt idx="39">
                    <c:v>April</c:v>
                  </c:pt>
                  <c:pt idx="40">
                    <c:v>May</c:v>
                  </c:pt>
                  <c:pt idx="41">
                    <c:v>June</c:v>
                  </c:pt>
                  <c:pt idx="42">
                    <c:v>July</c:v>
                  </c:pt>
                  <c:pt idx="43">
                    <c:v>August</c:v>
                  </c:pt>
                  <c:pt idx="44">
                    <c:v>September</c:v>
                  </c:pt>
                  <c:pt idx="45">
                    <c:v>October</c:v>
                  </c:pt>
                  <c:pt idx="46">
                    <c:v>November</c:v>
                  </c:pt>
                  <c:pt idx="47">
                    <c:v>December</c:v>
                  </c:pt>
                  <c:pt idx="48">
                    <c:v>January</c:v>
                  </c:pt>
                  <c:pt idx="49">
                    <c:v>February</c:v>
                  </c:pt>
                  <c:pt idx="50">
                    <c:v>March</c:v>
                  </c:pt>
                  <c:pt idx="51">
                    <c:v>April</c:v>
                  </c:pt>
                  <c:pt idx="52">
                    <c:v>May</c:v>
                  </c:pt>
                  <c:pt idx="53">
                    <c:v>June</c:v>
                  </c:pt>
                  <c:pt idx="54">
                    <c:v>July</c:v>
                  </c:pt>
                  <c:pt idx="55">
                    <c:v>August</c:v>
                  </c:pt>
                  <c:pt idx="56">
                    <c:v>September</c:v>
                  </c:pt>
                  <c:pt idx="57">
                    <c:v>October</c:v>
                  </c:pt>
                  <c:pt idx="58">
                    <c:v>November</c:v>
                  </c:pt>
                  <c:pt idx="59">
                    <c:v>December</c:v>
                  </c:pt>
                  <c:pt idx="60">
                    <c:v>January</c:v>
                  </c:pt>
                  <c:pt idx="61">
                    <c:v>February</c:v>
                  </c:pt>
                  <c:pt idx="62">
                    <c:v>March</c:v>
                  </c:pt>
                  <c:pt idx="63">
                    <c:v>April</c:v>
                  </c:pt>
                  <c:pt idx="64">
                    <c:v>May</c:v>
                  </c:pt>
                  <c:pt idx="65">
                    <c:v>June</c:v>
                  </c:pt>
                  <c:pt idx="66">
                    <c:v>July</c:v>
                  </c:pt>
                  <c:pt idx="67">
                    <c:v>August</c:v>
                  </c:pt>
                  <c:pt idx="68">
                    <c:v>September</c:v>
                  </c:pt>
                  <c:pt idx="69">
                    <c:v>October</c:v>
                  </c:pt>
                </c:lvl>
                <c:lvl>
                  <c:pt idx="0">
                    <c:v>2016</c:v>
                  </c:pt>
                  <c:pt idx="12">
                    <c:v>2017</c:v>
                  </c:pt>
                  <c:pt idx="24">
                    <c:v>2018</c:v>
                  </c:pt>
                  <c:pt idx="36">
                    <c:v>2019</c:v>
                  </c:pt>
                  <c:pt idx="48">
                    <c:v>2020</c:v>
                  </c:pt>
                  <c:pt idx="60">
                    <c:v>2021</c:v>
                  </c:pt>
                </c:lvl>
              </c:multiLvlStrCache>
            </c:multiLvlStrRef>
          </c:cat>
          <c:val>
            <c:numRef>
              <c:f>Sheet1!$B$5:$B$81</c:f>
              <c:numCache>
                <c:formatCode>General</c:formatCode>
                <c:ptCount val="70"/>
                <c:pt idx="0">
                  <c:v>95356158</c:v>
                </c:pt>
                <c:pt idx="1">
                  <c:v>115952796</c:v>
                </c:pt>
                <c:pt idx="2">
                  <c:v>111084260</c:v>
                </c:pt>
                <c:pt idx="3">
                  <c:v>112256121</c:v>
                </c:pt>
                <c:pt idx="4">
                  <c:v>99135674</c:v>
                </c:pt>
                <c:pt idx="5">
                  <c:v>110675609</c:v>
                </c:pt>
                <c:pt idx="6">
                  <c:v>99862932</c:v>
                </c:pt>
                <c:pt idx="7">
                  <c:v>101621957</c:v>
                </c:pt>
                <c:pt idx="8">
                  <c:v>98597320</c:v>
                </c:pt>
                <c:pt idx="9">
                  <c:v>106118559</c:v>
                </c:pt>
                <c:pt idx="10">
                  <c:v>107433254</c:v>
                </c:pt>
                <c:pt idx="11">
                  <c:v>98852330</c:v>
                </c:pt>
                <c:pt idx="12">
                  <c:v>97241796</c:v>
                </c:pt>
                <c:pt idx="13">
                  <c:v>102170906</c:v>
                </c:pt>
                <c:pt idx="14">
                  <c:v>111032189</c:v>
                </c:pt>
                <c:pt idx="15">
                  <c:v>83846363</c:v>
                </c:pt>
                <c:pt idx="16">
                  <c:v>103280068</c:v>
                </c:pt>
                <c:pt idx="17">
                  <c:v>82444090</c:v>
                </c:pt>
                <c:pt idx="18">
                  <c:v>85732086</c:v>
                </c:pt>
                <c:pt idx="19">
                  <c:v>72478374</c:v>
                </c:pt>
                <c:pt idx="20">
                  <c:v>77661595</c:v>
                </c:pt>
                <c:pt idx="21">
                  <c:v>89138869</c:v>
                </c:pt>
                <c:pt idx="22">
                  <c:v>88890564</c:v>
                </c:pt>
                <c:pt idx="23">
                  <c:v>76658375</c:v>
                </c:pt>
                <c:pt idx="24">
                  <c:v>93565272</c:v>
                </c:pt>
                <c:pt idx="25">
                  <c:v>79615120</c:v>
                </c:pt>
                <c:pt idx="26">
                  <c:v>76606681</c:v>
                </c:pt>
                <c:pt idx="27">
                  <c:v>83641194</c:v>
                </c:pt>
                <c:pt idx="28">
                  <c:v>71540686</c:v>
                </c:pt>
                <c:pt idx="29">
                  <c:v>89278170</c:v>
                </c:pt>
                <c:pt idx="30">
                  <c:v>85165243</c:v>
                </c:pt>
                <c:pt idx="31">
                  <c:v>81067422</c:v>
                </c:pt>
                <c:pt idx="32">
                  <c:v>98954923</c:v>
                </c:pt>
                <c:pt idx="33">
                  <c:v>110110987</c:v>
                </c:pt>
                <c:pt idx="34">
                  <c:v>114193445</c:v>
                </c:pt>
                <c:pt idx="35">
                  <c:v>79367776</c:v>
                </c:pt>
                <c:pt idx="36">
                  <c:v>101007078</c:v>
                </c:pt>
                <c:pt idx="37">
                  <c:v>96763935</c:v>
                </c:pt>
                <c:pt idx="38">
                  <c:v>98176547</c:v>
                </c:pt>
                <c:pt idx="39">
                  <c:v>88006971</c:v>
                </c:pt>
                <c:pt idx="40">
                  <c:v>92904900</c:v>
                </c:pt>
                <c:pt idx="41">
                  <c:v>76348497</c:v>
                </c:pt>
                <c:pt idx="42">
                  <c:v>74494167</c:v>
                </c:pt>
                <c:pt idx="43">
                  <c:v>83372858</c:v>
                </c:pt>
                <c:pt idx="44">
                  <c:v>78250893</c:v>
                </c:pt>
                <c:pt idx="45">
                  <c:v>83597047</c:v>
                </c:pt>
                <c:pt idx="46">
                  <c:v>74477382</c:v>
                </c:pt>
                <c:pt idx="47">
                  <c:v>60983162</c:v>
                </c:pt>
                <c:pt idx="48">
                  <c:v>74401761</c:v>
                </c:pt>
                <c:pt idx="49">
                  <c:v>61267428</c:v>
                </c:pt>
                <c:pt idx="50">
                  <c:v>80507625</c:v>
                </c:pt>
                <c:pt idx="51">
                  <c:v>37895628</c:v>
                </c:pt>
                <c:pt idx="52">
                  <c:v>35773678</c:v>
                </c:pt>
                <c:pt idx="53">
                  <c:v>44810868</c:v>
                </c:pt>
                <c:pt idx="54">
                  <c:v>40190935</c:v>
                </c:pt>
                <c:pt idx="55">
                  <c:v>47265942</c:v>
                </c:pt>
                <c:pt idx="56">
                  <c:v>55366362</c:v>
                </c:pt>
                <c:pt idx="57">
                  <c:v>69311919</c:v>
                </c:pt>
                <c:pt idx="58">
                  <c:v>73954962</c:v>
                </c:pt>
                <c:pt idx="59">
                  <c:v>70630537</c:v>
                </c:pt>
                <c:pt idx="60">
                  <c:v>69094446</c:v>
                </c:pt>
                <c:pt idx="61">
                  <c:v>80126826</c:v>
                </c:pt>
                <c:pt idx="62">
                  <c:v>70696195</c:v>
                </c:pt>
                <c:pt idx="63">
                  <c:v>72598405</c:v>
                </c:pt>
                <c:pt idx="64">
                  <c:v>64847228</c:v>
                </c:pt>
                <c:pt idx="65">
                  <c:v>63869841</c:v>
                </c:pt>
                <c:pt idx="66">
                  <c:v>52927452</c:v>
                </c:pt>
                <c:pt idx="67">
                  <c:v>45441013</c:v>
                </c:pt>
                <c:pt idx="68">
                  <c:v>54777201</c:v>
                </c:pt>
                <c:pt idx="69">
                  <c:v>44763100</c:v>
                </c:pt>
              </c:numCache>
            </c:numRef>
          </c:val>
          <c:smooth val="0"/>
          <c:extLst>
            <c:ext xmlns:c16="http://schemas.microsoft.com/office/drawing/2014/chart" uri="{C3380CC4-5D6E-409C-BE32-E72D297353CC}">
              <c16:uniqueId val="{00000000-B700-4EF8-8231-48F0857B1E72}"/>
            </c:ext>
          </c:extLst>
        </c:ser>
        <c:ser>
          <c:idx val="1"/>
          <c:order val="1"/>
          <c:tx>
            <c:strRef>
              <c:f>Sheet1!$C$3:$C$4</c:f>
              <c:strCache>
                <c:ptCount val="1"/>
                <c:pt idx="0">
                  <c:v>NON-EU</c:v>
                </c:pt>
              </c:strCache>
            </c:strRef>
          </c:tx>
          <c:spPr>
            <a:ln w="28575" cap="rnd">
              <a:solidFill>
                <a:schemeClr val="accent2"/>
              </a:solidFill>
              <a:round/>
            </a:ln>
            <a:effectLst/>
          </c:spPr>
          <c:marker>
            <c:symbol val="none"/>
          </c:marker>
          <c:cat>
            <c:multiLvlStrRef>
              <c:f>Sheet1!$A$5:$A$81</c:f>
              <c:multiLvlStrCache>
                <c:ptCount val="70"/>
                <c:lvl>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c:v>
                  </c:pt>
                  <c:pt idx="13">
                    <c:v>February</c:v>
                  </c:pt>
                  <c:pt idx="14">
                    <c:v>March</c:v>
                  </c:pt>
                  <c:pt idx="15">
                    <c:v>April</c:v>
                  </c:pt>
                  <c:pt idx="16">
                    <c:v>May</c:v>
                  </c:pt>
                  <c:pt idx="17">
                    <c:v>June</c:v>
                  </c:pt>
                  <c:pt idx="18">
                    <c:v>July</c:v>
                  </c:pt>
                  <c:pt idx="19">
                    <c:v>August</c:v>
                  </c:pt>
                  <c:pt idx="20">
                    <c:v>September</c:v>
                  </c:pt>
                  <c:pt idx="21">
                    <c:v>October</c:v>
                  </c:pt>
                  <c:pt idx="22">
                    <c:v>November</c:v>
                  </c:pt>
                  <c:pt idx="23">
                    <c:v>December</c:v>
                  </c:pt>
                  <c:pt idx="24">
                    <c:v>January</c:v>
                  </c:pt>
                  <c:pt idx="25">
                    <c:v>February</c:v>
                  </c:pt>
                  <c:pt idx="26">
                    <c:v>March</c:v>
                  </c:pt>
                  <c:pt idx="27">
                    <c:v>April</c:v>
                  </c:pt>
                  <c:pt idx="28">
                    <c:v>May</c:v>
                  </c:pt>
                  <c:pt idx="29">
                    <c:v>June</c:v>
                  </c:pt>
                  <c:pt idx="30">
                    <c:v>July</c:v>
                  </c:pt>
                  <c:pt idx="31">
                    <c:v>August</c:v>
                  </c:pt>
                  <c:pt idx="32">
                    <c:v>September</c:v>
                  </c:pt>
                  <c:pt idx="33">
                    <c:v>October</c:v>
                  </c:pt>
                  <c:pt idx="34">
                    <c:v>November</c:v>
                  </c:pt>
                  <c:pt idx="35">
                    <c:v>December</c:v>
                  </c:pt>
                  <c:pt idx="36">
                    <c:v>January</c:v>
                  </c:pt>
                  <c:pt idx="37">
                    <c:v>February</c:v>
                  </c:pt>
                  <c:pt idx="38">
                    <c:v>March</c:v>
                  </c:pt>
                  <c:pt idx="39">
                    <c:v>April</c:v>
                  </c:pt>
                  <c:pt idx="40">
                    <c:v>May</c:v>
                  </c:pt>
                  <c:pt idx="41">
                    <c:v>June</c:v>
                  </c:pt>
                  <c:pt idx="42">
                    <c:v>July</c:v>
                  </c:pt>
                  <c:pt idx="43">
                    <c:v>August</c:v>
                  </c:pt>
                  <c:pt idx="44">
                    <c:v>September</c:v>
                  </c:pt>
                  <c:pt idx="45">
                    <c:v>October</c:v>
                  </c:pt>
                  <c:pt idx="46">
                    <c:v>November</c:v>
                  </c:pt>
                  <c:pt idx="47">
                    <c:v>December</c:v>
                  </c:pt>
                  <c:pt idx="48">
                    <c:v>January</c:v>
                  </c:pt>
                  <c:pt idx="49">
                    <c:v>February</c:v>
                  </c:pt>
                  <c:pt idx="50">
                    <c:v>March</c:v>
                  </c:pt>
                  <c:pt idx="51">
                    <c:v>April</c:v>
                  </c:pt>
                  <c:pt idx="52">
                    <c:v>May</c:v>
                  </c:pt>
                  <c:pt idx="53">
                    <c:v>June</c:v>
                  </c:pt>
                  <c:pt idx="54">
                    <c:v>July</c:v>
                  </c:pt>
                  <c:pt idx="55">
                    <c:v>August</c:v>
                  </c:pt>
                  <c:pt idx="56">
                    <c:v>September</c:v>
                  </c:pt>
                  <c:pt idx="57">
                    <c:v>October</c:v>
                  </c:pt>
                  <c:pt idx="58">
                    <c:v>November</c:v>
                  </c:pt>
                  <c:pt idx="59">
                    <c:v>December</c:v>
                  </c:pt>
                  <c:pt idx="60">
                    <c:v>January</c:v>
                  </c:pt>
                  <c:pt idx="61">
                    <c:v>February</c:v>
                  </c:pt>
                  <c:pt idx="62">
                    <c:v>March</c:v>
                  </c:pt>
                  <c:pt idx="63">
                    <c:v>April</c:v>
                  </c:pt>
                  <c:pt idx="64">
                    <c:v>May</c:v>
                  </c:pt>
                  <c:pt idx="65">
                    <c:v>June</c:v>
                  </c:pt>
                  <c:pt idx="66">
                    <c:v>July</c:v>
                  </c:pt>
                  <c:pt idx="67">
                    <c:v>August</c:v>
                  </c:pt>
                  <c:pt idx="68">
                    <c:v>September</c:v>
                  </c:pt>
                  <c:pt idx="69">
                    <c:v>October</c:v>
                  </c:pt>
                </c:lvl>
                <c:lvl>
                  <c:pt idx="0">
                    <c:v>2016</c:v>
                  </c:pt>
                  <c:pt idx="12">
                    <c:v>2017</c:v>
                  </c:pt>
                  <c:pt idx="24">
                    <c:v>2018</c:v>
                  </c:pt>
                  <c:pt idx="36">
                    <c:v>2019</c:v>
                  </c:pt>
                  <c:pt idx="48">
                    <c:v>2020</c:v>
                  </c:pt>
                  <c:pt idx="60">
                    <c:v>2021</c:v>
                  </c:pt>
                </c:lvl>
              </c:multiLvlStrCache>
            </c:multiLvlStrRef>
          </c:cat>
          <c:val>
            <c:numRef>
              <c:f>Sheet1!$C$5:$C$81</c:f>
              <c:numCache>
                <c:formatCode>General</c:formatCode>
                <c:ptCount val="70"/>
                <c:pt idx="0">
                  <c:v>68929764</c:v>
                </c:pt>
                <c:pt idx="1">
                  <c:v>43118106</c:v>
                </c:pt>
                <c:pt idx="2">
                  <c:v>45199531</c:v>
                </c:pt>
                <c:pt idx="3">
                  <c:v>50754548</c:v>
                </c:pt>
                <c:pt idx="4">
                  <c:v>50042650</c:v>
                </c:pt>
                <c:pt idx="5">
                  <c:v>19270449</c:v>
                </c:pt>
                <c:pt idx="6">
                  <c:v>18747324</c:v>
                </c:pt>
                <c:pt idx="7">
                  <c:v>19422131</c:v>
                </c:pt>
                <c:pt idx="8">
                  <c:v>80249195</c:v>
                </c:pt>
                <c:pt idx="9">
                  <c:v>41480371</c:v>
                </c:pt>
                <c:pt idx="10">
                  <c:v>68936896</c:v>
                </c:pt>
                <c:pt idx="11">
                  <c:v>58215664</c:v>
                </c:pt>
                <c:pt idx="12">
                  <c:v>54413301</c:v>
                </c:pt>
                <c:pt idx="13">
                  <c:v>59300684</c:v>
                </c:pt>
                <c:pt idx="14">
                  <c:v>99202374</c:v>
                </c:pt>
                <c:pt idx="15">
                  <c:v>114804318</c:v>
                </c:pt>
                <c:pt idx="16">
                  <c:v>101877245</c:v>
                </c:pt>
                <c:pt idx="17">
                  <c:v>45610476</c:v>
                </c:pt>
                <c:pt idx="18">
                  <c:v>17502750</c:v>
                </c:pt>
                <c:pt idx="19">
                  <c:v>45375639</c:v>
                </c:pt>
                <c:pt idx="20">
                  <c:v>41333802</c:v>
                </c:pt>
                <c:pt idx="21">
                  <c:v>52258809</c:v>
                </c:pt>
                <c:pt idx="22">
                  <c:v>38755319</c:v>
                </c:pt>
                <c:pt idx="23">
                  <c:v>23201853</c:v>
                </c:pt>
                <c:pt idx="24">
                  <c:v>40567606</c:v>
                </c:pt>
                <c:pt idx="25">
                  <c:v>48008385</c:v>
                </c:pt>
                <c:pt idx="26">
                  <c:v>23789715</c:v>
                </c:pt>
                <c:pt idx="27">
                  <c:v>36588665</c:v>
                </c:pt>
                <c:pt idx="28">
                  <c:v>31344954</c:v>
                </c:pt>
                <c:pt idx="29">
                  <c:v>32497075</c:v>
                </c:pt>
                <c:pt idx="30">
                  <c:v>60044342</c:v>
                </c:pt>
                <c:pt idx="31">
                  <c:v>47568070</c:v>
                </c:pt>
                <c:pt idx="32">
                  <c:v>49108149</c:v>
                </c:pt>
                <c:pt idx="33">
                  <c:v>48790624</c:v>
                </c:pt>
                <c:pt idx="34">
                  <c:v>31531958</c:v>
                </c:pt>
                <c:pt idx="35">
                  <c:v>87283006</c:v>
                </c:pt>
                <c:pt idx="36">
                  <c:v>49171076</c:v>
                </c:pt>
                <c:pt idx="37">
                  <c:v>56435129</c:v>
                </c:pt>
                <c:pt idx="38">
                  <c:v>18909080</c:v>
                </c:pt>
                <c:pt idx="39">
                  <c:v>41472518</c:v>
                </c:pt>
                <c:pt idx="40">
                  <c:v>51151580</c:v>
                </c:pt>
                <c:pt idx="41">
                  <c:v>15659786</c:v>
                </c:pt>
                <c:pt idx="42">
                  <c:v>52555919</c:v>
                </c:pt>
                <c:pt idx="43">
                  <c:v>17388040</c:v>
                </c:pt>
                <c:pt idx="44">
                  <c:v>9262341</c:v>
                </c:pt>
                <c:pt idx="45">
                  <c:v>37696245</c:v>
                </c:pt>
                <c:pt idx="46">
                  <c:v>42056242</c:v>
                </c:pt>
                <c:pt idx="47">
                  <c:v>52703695</c:v>
                </c:pt>
                <c:pt idx="48">
                  <c:v>41970073</c:v>
                </c:pt>
                <c:pt idx="49">
                  <c:v>19681465</c:v>
                </c:pt>
                <c:pt idx="50">
                  <c:v>24578906</c:v>
                </c:pt>
                <c:pt idx="51">
                  <c:v>20578106</c:v>
                </c:pt>
                <c:pt idx="52">
                  <c:v>47192704</c:v>
                </c:pt>
                <c:pt idx="53">
                  <c:v>28053771</c:v>
                </c:pt>
                <c:pt idx="54">
                  <c:v>53449740</c:v>
                </c:pt>
                <c:pt idx="55">
                  <c:v>14585467</c:v>
                </c:pt>
                <c:pt idx="56">
                  <c:v>17190792</c:v>
                </c:pt>
                <c:pt idx="57">
                  <c:v>14910159</c:v>
                </c:pt>
                <c:pt idx="58">
                  <c:v>17466572</c:v>
                </c:pt>
                <c:pt idx="59">
                  <c:v>41843761</c:v>
                </c:pt>
                <c:pt idx="60">
                  <c:v>42166570</c:v>
                </c:pt>
                <c:pt idx="61">
                  <c:v>13988346</c:v>
                </c:pt>
                <c:pt idx="62">
                  <c:v>52117379</c:v>
                </c:pt>
                <c:pt idx="63">
                  <c:v>48692860</c:v>
                </c:pt>
                <c:pt idx="64">
                  <c:v>94410861</c:v>
                </c:pt>
                <c:pt idx="65">
                  <c:v>64416917</c:v>
                </c:pt>
                <c:pt idx="66">
                  <c:v>95286161</c:v>
                </c:pt>
                <c:pt idx="67">
                  <c:v>64706308</c:v>
                </c:pt>
                <c:pt idx="68">
                  <c:v>70658432</c:v>
                </c:pt>
                <c:pt idx="69">
                  <c:v>121281895</c:v>
                </c:pt>
              </c:numCache>
            </c:numRef>
          </c:val>
          <c:smooth val="0"/>
          <c:extLst>
            <c:ext xmlns:c16="http://schemas.microsoft.com/office/drawing/2014/chart" uri="{C3380CC4-5D6E-409C-BE32-E72D297353CC}">
              <c16:uniqueId val="{00000001-B700-4EF8-8231-48F0857B1E72}"/>
            </c:ext>
          </c:extLst>
        </c:ser>
        <c:dLbls>
          <c:showLegendKey val="0"/>
          <c:showVal val="0"/>
          <c:showCatName val="0"/>
          <c:showSerName val="0"/>
          <c:showPercent val="0"/>
          <c:showBubbleSize val="0"/>
        </c:dLbls>
        <c:smooth val="0"/>
        <c:axId val="334773200"/>
        <c:axId val="334772368"/>
      </c:lineChart>
      <c:catAx>
        <c:axId val="33477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72368"/>
        <c:crosses val="autoZero"/>
        <c:auto val="1"/>
        <c:lblAlgn val="ctr"/>
        <c:lblOffset val="100"/>
        <c:tickMarkSkip val="1"/>
        <c:noMultiLvlLbl val="0"/>
      </c:catAx>
      <c:valAx>
        <c:axId val="3347723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Volume of</a:t>
                </a:r>
                <a:r>
                  <a:rPr lang="en-GB" sz="900" baseline="0"/>
                  <a:t> Imports (kg)</a:t>
                </a:r>
                <a:endParaRPr lang="en-GB"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7320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C849-D011-45E5-B4B4-87638199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kbirch</dc:creator>
  <cp:keywords/>
  <cp:lastModifiedBy>Charlie Hopkirk</cp:lastModifiedBy>
  <cp:revision>4</cp:revision>
  <cp:lastPrinted>2016-04-19T10:12:00Z</cp:lastPrinted>
  <dcterms:created xsi:type="dcterms:W3CDTF">2022-02-15T10:36:00Z</dcterms:created>
  <dcterms:modified xsi:type="dcterms:W3CDTF">2022-02-18T09:08:00Z</dcterms:modified>
</cp:coreProperties>
</file>