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529" w14:textId="0DAF17B0" w:rsidR="00A821B8" w:rsidRPr="000F5124" w:rsidRDefault="00A821B8" w:rsidP="00A821B8">
      <w:pPr>
        <w:pStyle w:val="NoSpacing"/>
        <w:jc w:val="right"/>
        <w:rPr>
          <w:i/>
          <w:iCs/>
          <w:sz w:val="16"/>
          <w:szCs w:val="16"/>
        </w:rPr>
      </w:pPr>
      <w:r w:rsidRPr="000F5124">
        <w:rPr>
          <w:i/>
          <w:iCs/>
          <w:sz w:val="16"/>
          <w:szCs w:val="16"/>
        </w:rPr>
        <w:t>TRA V</w:t>
      </w:r>
      <w:r w:rsidR="000D3659">
        <w:rPr>
          <w:i/>
          <w:iCs/>
          <w:sz w:val="16"/>
          <w:szCs w:val="16"/>
        </w:rPr>
        <w:t xml:space="preserve">6 </w:t>
      </w:r>
      <w:r>
        <w:rPr>
          <w:i/>
          <w:iCs/>
          <w:sz w:val="16"/>
          <w:szCs w:val="16"/>
        </w:rPr>
        <w:t>non confidential</w:t>
      </w:r>
    </w:p>
    <w:p w14:paraId="2D018A73" w14:textId="77777777" w:rsidR="00A821B8" w:rsidRDefault="00A821B8" w:rsidP="00A821B8">
      <w:pPr>
        <w:jc w:val="center"/>
        <w:rPr>
          <w:b/>
          <w:bCs/>
        </w:rPr>
      </w:pPr>
      <w:r w:rsidRPr="005E0F3B">
        <w:rPr>
          <w:b/>
          <w:bCs/>
          <w:sz w:val="36"/>
          <w:szCs w:val="36"/>
        </w:rPr>
        <w:t>THE INTERNATIONAL STEEL TRADE ASSOCI</w:t>
      </w:r>
      <w:r>
        <w:rPr>
          <w:b/>
          <w:bCs/>
          <w:sz w:val="36"/>
          <w:szCs w:val="36"/>
        </w:rPr>
        <w:t>A</w:t>
      </w:r>
      <w:r w:rsidRPr="005E0F3B">
        <w:rPr>
          <w:b/>
          <w:bCs/>
          <w:sz w:val="36"/>
          <w:szCs w:val="36"/>
        </w:rPr>
        <w:t>TION</w:t>
      </w:r>
    </w:p>
    <w:p w14:paraId="2DB65469" w14:textId="77777777" w:rsidR="00A821B8" w:rsidRDefault="00A821B8" w:rsidP="00A821B8">
      <w:pPr>
        <w:pStyle w:val="NoSpacing"/>
        <w:rPr>
          <w:b/>
          <w:bCs/>
          <w:sz w:val="28"/>
          <w:szCs w:val="28"/>
        </w:rPr>
      </w:pPr>
    </w:p>
    <w:p w14:paraId="46D11D81" w14:textId="77777777" w:rsidR="00A821B8" w:rsidRPr="00B33ABF" w:rsidRDefault="00A821B8" w:rsidP="00A821B8">
      <w:pPr>
        <w:pStyle w:val="NoSpacing"/>
        <w:tabs>
          <w:tab w:val="left" w:pos="6501"/>
        </w:tabs>
        <w:rPr>
          <w:sz w:val="24"/>
          <w:szCs w:val="24"/>
        </w:rPr>
      </w:pPr>
      <w:r w:rsidRPr="00B33ABF">
        <w:rPr>
          <w:sz w:val="24"/>
          <w:szCs w:val="24"/>
        </w:rPr>
        <w:t>11</w:t>
      </w:r>
      <w:r w:rsidRPr="00B33ABF">
        <w:rPr>
          <w:sz w:val="24"/>
          <w:szCs w:val="24"/>
          <w:vertAlign w:val="superscript"/>
        </w:rPr>
        <w:t>th</w:t>
      </w:r>
      <w:r w:rsidRPr="00B33ABF">
        <w:rPr>
          <w:sz w:val="24"/>
          <w:szCs w:val="24"/>
        </w:rPr>
        <w:t xml:space="preserve"> April 2022</w:t>
      </w:r>
    </w:p>
    <w:p w14:paraId="5F65C424" w14:textId="77777777" w:rsidR="00A821B8" w:rsidRDefault="00A821B8" w:rsidP="00A821B8">
      <w:pPr>
        <w:pStyle w:val="NoSpacing"/>
        <w:tabs>
          <w:tab w:val="left" w:pos="6501"/>
        </w:tabs>
        <w:rPr>
          <w:b/>
          <w:bCs/>
          <w:sz w:val="24"/>
          <w:szCs w:val="24"/>
        </w:rPr>
      </w:pPr>
    </w:p>
    <w:p w14:paraId="5E227098" w14:textId="77777777" w:rsidR="00A821B8" w:rsidRPr="00B33ABF" w:rsidRDefault="00A821B8" w:rsidP="00A821B8">
      <w:pPr>
        <w:pStyle w:val="NoSpacing"/>
        <w:tabs>
          <w:tab w:val="left" w:pos="6501"/>
        </w:tabs>
        <w:rPr>
          <w:b/>
          <w:bCs/>
          <w:sz w:val="24"/>
          <w:szCs w:val="24"/>
          <w:u w:val="single"/>
        </w:rPr>
      </w:pPr>
      <w:r w:rsidRPr="00B33ABF">
        <w:rPr>
          <w:b/>
          <w:bCs/>
          <w:sz w:val="24"/>
          <w:szCs w:val="24"/>
          <w:u w:val="single"/>
        </w:rPr>
        <w:t>ISTA NON-CONFIDENTIAL SUBMISSION</w:t>
      </w:r>
    </w:p>
    <w:p w14:paraId="6A46570D" w14:textId="77777777" w:rsidR="00A821B8" w:rsidRDefault="00A821B8" w:rsidP="00A821B8">
      <w:pPr>
        <w:pStyle w:val="NoSpacing"/>
        <w:tabs>
          <w:tab w:val="left" w:pos="6501"/>
        </w:tabs>
        <w:rPr>
          <w:b/>
          <w:bCs/>
          <w:sz w:val="24"/>
          <w:szCs w:val="24"/>
        </w:rPr>
      </w:pPr>
    </w:p>
    <w:p w14:paraId="278673C7" w14:textId="77777777" w:rsidR="00A821B8" w:rsidRDefault="00A821B8" w:rsidP="00A821B8">
      <w:pPr>
        <w:pStyle w:val="NoSpacing"/>
        <w:tabs>
          <w:tab w:val="left" w:pos="6501"/>
        </w:tabs>
        <w:rPr>
          <w:b/>
          <w:bCs/>
          <w:sz w:val="24"/>
          <w:szCs w:val="24"/>
        </w:rPr>
      </w:pPr>
      <w:r>
        <w:rPr>
          <w:b/>
          <w:bCs/>
          <w:sz w:val="24"/>
          <w:szCs w:val="24"/>
        </w:rPr>
        <w:t>To:  The Trade Remedies Authority</w:t>
      </w:r>
    </w:p>
    <w:p w14:paraId="6C145BE7" w14:textId="77777777" w:rsidR="00A821B8" w:rsidRPr="00247EB3" w:rsidRDefault="00A821B8" w:rsidP="00A821B8">
      <w:pPr>
        <w:pStyle w:val="NoSpacing"/>
        <w:tabs>
          <w:tab w:val="left" w:pos="6501"/>
        </w:tabs>
        <w:rPr>
          <w:b/>
          <w:bCs/>
          <w:sz w:val="20"/>
          <w:szCs w:val="20"/>
        </w:rPr>
      </w:pPr>
    </w:p>
    <w:p w14:paraId="6416991D" w14:textId="77777777" w:rsidR="00A821B8" w:rsidRDefault="00A821B8" w:rsidP="00A821B8">
      <w:pPr>
        <w:pStyle w:val="NoSpacing"/>
        <w:rPr>
          <w:b/>
          <w:bCs/>
          <w:sz w:val="24"/>
          <w:szCs w:val="24"/>
        </w:rPr>
      </w:pPr>
      <w:r>
        <w:rPr>
          <w:b/>
          <w:bCs/>
          <w:sz w:val="24"/>
          <w:szCs w:val="24"/>
        </w:rPr>
        <w:t>Tariff Rate Quota Review – SM0019</w:t>
      </w:r>
    </w:p>
    <w:p w14:paraId="51FCD276" w14:textId="77777777" w:rsidR="00A821B8" w:rsidRDefault="00A821B8" w:rsidP="00A821B8">
      <w:pPr>
        <w:pStyle w:val="NoSpacing"/>
        <w:rPr>
          <w:b/>
          <w:bCs/>
          <w:sz w:val="24"/>
          <w:szCs w:val="24"/>
        </w:rPr>
      </w:pPr>
      <w:r>
        <w:rPr>
          <w:b/>
          <w:bCs/>
          <w:sz w:val="24"/>
          <w:szCs w:val="24"/>
        </w:rPr>
        <w:t>Re:  TRQ Allocations for the Russian Federation and the Republic of Belarus</w:t>
      </w:r>
    </w:p>
    <w:p w14:paraId="6B22EC68" w14:textId="77777777" w:rsidR="00A821B8" w:rsidRDefault="00A821B8" w:rsidP="00A821B8">
      <w:pPr>
        <w:pStyle w:val="NoSpacing"/>
        <w:rPr>
          <w:b/>
          <w:bCs/>
          <w:sz w:val="24"/>
          <w:szCs w:val="24"/>
        </w:rPr>
      </w:pPr>
      <w:r>
        <w:rPr>
          <w:b/>
          <w:bCs/>
          <w:sz w:val="24"/>
          <w:szCs w:val="24"/>
        </w:rPr>
        <w:t>Covering steel product categories 1 (</w:t>
      </w:r>
      <w:proofErr w:type="spellStart"/>
      <w:r>
        <w:rPr>
          <w:b/>
          <w:bCs/>
          <w:sz w:val="24"/>
          <w:szCs w:val="24"/>
        </w:rPr>
        <w:t>non alloy</w:t>
      </w:r>
      <w:proofErr w:type="spellEnd"/>
      <w:r>
        <w:rPr>
          <w:b/>
          <w:bCs/>
          <w:sz w:val="24"/>
          <w:szCs w:val="24"/>
        </w:rPr>
        <w:t xml:space="preserve"> and other alloy hot rolled sheet and </w:t>
      </w:r>
      <w:proofErr w:type="gramStart"/>
      <w:r>
        <w:rPr>
          <w:b/>
          <w:bCs/>
          <w:sz w:val="24"/>
          <w:szCs w:val="24"/>
        </w:rPr>
        <w:t>strip)  and</w:t>
      </w:r>
      <w:proofErr w:type="gramEnd"/>
      <w:r>
        <w:rPr>
          <w:b/>
          <w:bCs/>
          <w:sz w:val="24"/>
          <w:szCs w:val="24"/>
        </w:rPr>
        <w:t xml:space="preserve"> 13 (Rebars)</w:t>
      </w:r>
    </w:p>
    <w:p w14:paraId="35D42F11" w14:textId="77777777" w:rsidR="00A821B8" w:rsidRPr="00247EB3" w:rsidRDefault="00A821B8" w:rsidP="00A821B8">
      <w:pPr>
        <w:pStyle w:val="NoSpacing"/>
        <w:rPr>
          <w:sz w:val="20"/>
          <w:szCs w:val="20"/>
        </w:rPr>
      </w:pPr>
    </w:p>
    <w:p w14:paraId="281E7E90" w14:textId="77777777" w:rsidR="00A821B8" w:rsidRDefault="00A821B8" w:rsidP="00A821B8">
      <w:pPr>
        <w:pStyle w:val="NoSpacing"/>
        <w:rPr>
          <w:sz w:val="24"/>
          <w:szCs w:val="24"/>
        </w:rPr>
      </w:pPr>
      <w:r>
        <w:rPr>
          <w:sz w:val="24"/>
          <w:szCs w:val="24"/>
        </w:rPr>
        <w:t>ISTA welcomes this opportunity to comment on the proposed measures.</w:t>
      </w:r>
    </w:p>
    <w:p w14:paraId="34EA168E" w14:textId="77777777" w:rsidR="00A821B8" w:rsidRPr="00247EB3" w:rsidRDefault="00A821B8" w:rsidP="00A821B8">
      <w:pPr>
        <w:pStyle w:val="NoSpacing"/>
        <w:rPr>
          <w:sz w:val="20"/>
          <w:szCs w:val="20"/>
        </w:rPr>
      </w:pPr>
    </w:p>
    <w:p w14:paraId="137020ED" w14:textId="77777777" w:rsidR="00A821B8" w:rsidRPr="00CA0845" w:rsidRDefault="00A821B8" w:rsidP="00A821B8">
      <w:pPr>
        <w:pStyle w:val="NoSpacing"/>
        <w:rPr>
          <w:b/>
          <w:bCs/>
          <w:sz w:val="24"/>
          <w:szCs w:val="24"/>
        </w:rPr>
      </w:pPr>
      <w:r w:rsidRPr="00CA0845">
        <w:rPr>
          <w:b/>
          <w:bCs/>
          <w:sz w:val="24"/>
          <w:szCs w:val="24"/>
        </w:rPr>
        <w:t>Basic Premise</w:t>
      </w:r>
    </w:p>
    <w:p w14:paraId="4FABE7AF" w14:textId="77777777" w:rsidR="00A821B8" w:rsidRDefault="00A821B8" w:rsidP="00A821B8">
      <w:pPr>
        <w:pStyle w:val="NoSpacing"/>
        <w:rPr>
          <w:sz w:val="24"/>
          <w:szCs w:val="24"/>
        </w:rPr>
      </w:pPr>
      <w:r>
        <w:rPr>
          <w:sz w:val="24"/>
          <w:szCs w:val="24"/>
        </w:rPr>
        <w:t>Our basic premise is that demand remains for both the products in question and that UK mills are not able to meet this demand. To ensure the necessary supply to the market during the current war, such steel must be obtained elsewhere.  ISTA, supports the TRA position “to vary the TRQs in order to maintain trade flows …”.</w:t>
      </w:r>
    </w:p>
    <w:p w14:paraId="10E3F846" w14:textId="77777777" w:rsidR="00A821B8" w:rsidRPr="00247EB3" w:rsidRDefault="00A821B8" w:rsidP="00A821B8">
      <w:pPr>
        <w:pStyle w:val="NoSpacing"/>
        <w:rPr>
          <w:sz w:val="20"/>
          <w:szCs w:val="20"/>
        </w:rPr>
      </w:pPr>
    </w:p>
    <w:p w14:paraId="14B844CA" w14:textId="77777777" w:rsidR="00A821B8" w:rsidRPr="004A3A54" w:rsidRDefault="00A821B8" w:rsidP="00A821B8">
      <w:pPr>
        <w:pStyle w:val="NoSpacing"/>
        <w:rPr>
          <w:b/>
          <w:bCs/>
          <w:sz w:val="24"/>
          <w:szCs w:val="24"/>
        </w:rPr>
      </w:pPr>
      <w:r w:rsidRPr="004A3A54">
        <w:rPr>
          <w:b/>
          <w:bCs/>
          <w:sz w:val="24"/>
          <w:szCs w:val="24"/>
        </w:rPr>
        <w:t>Proposed TRQ Re-allocations</w:t>
      </w:r>
    </w:p>
    <w:p w14:paraId="7C33A510" w14:textId="77777777" w:rsidR="00A821B8" w:rsidRDefault="00A821B8" w:rsidP="00A821B8">
      <w:pPr>
        <w:pStyle w:val="NoSpacing"/>
        <w:rPr>
          <w:sz w:val="24"/>
          <w:szCs w:val="24"/>
        </w:rPr>
      </w:pPr>
      <w:r>
        <w:rPr>
          <w:sz w:val="24"/>
          <w:szCs w:val="24"/>
        </w:rPr>
        <w:t>Members reports that UK imports statistics show that to an appreciable degree the EU is not using its current quota allocation for both categories 1 and 13.  ISTA, therefore, believes that the reallocations should only be for the specific non-EU countries and “other countries”.</w:t>
      </w:r>
    </w:p>
    <w:p w14:paraId="6450530B" w14:textId="77777777" w:rsidR="00A821B8" w:rsidRPr="00247EB3" w:rsidRDefault="00A821B8" w:rsidP="00A821B8">
      <w:pPr>
        <w:pStyle w:val="NoSpacing"/>
        <w:rPr>
          <w:sz w:val="20"/>
          <w:szCs w:val="20"/>
        </w:rPr>
      </w:pPr>
    </w:p>
    <w:p w14:paraId="788EAD20" w14:textId="77777777" w:rsidR="00A821B8" w:rsidRDefault="00A821B8" w:rsidP="00A821B8">
      <w:pPr>
        <w:pStyle w:val="NoSpacing"/>
        <w:rPr>
          <w:sz w:val="24"/>
          <w:szCs w:val="24"/>
        </w:rPr>
      </w:pPr>
      <w:r>
        <w:rPr>
          <w:sz w:val="24"/>
          <w:szCs w:val="24"/>
        </w:rPr>
        <w:t>Members also report that Ukraine is currently unable to export due to the war.  Their quotas should also be temporarily redistributed.</w:t>
      </w:r>
    </w:p>
    <w:p w14:paraId="1494A68E" w14:textId="77777777" w:rsidR="00A821B8" w:rsidRDefault="00A821B8" w:rsidP="00A821B8">
      <w:pPr>
        <w:pStyle w:val="NoSpacing"/>
        <w:rPr>
          <w:sz w:val="24"/>
          <w:szCs w:val="24"/>
        </w:rPr>
      </w:pPr>
    </w:p>
    <w:p w14:paraId="25C647DD" w14:textId="77777777" w:rsidR="00A821B8" w:rsidRDefault="00A821B8" w:rsidP="00A821B8">
      <w:pPr>
        <w:pStyle w:val="NoSpacing"/>
        <w:rPr>
          <w:b/>
          <w:bCs/>
          <w:sz w:val="24"/>
          <w:szCs w:val="24"/>
        </w:rPr>
      </w:pPr>
      <w:r>
        <w:rPr>
          <w:b/>
          <w:bCs/>
          <w:sz w:val="24"/>
          <w:szCs w:val="24"/>
        </w:rPr>
        <w:t>A Consideration</w:t>
      </w:r>
    </w:p>
    <w:p w14:paraId="42BFBE8E" w14:textId="77777777" w:rsidR="00A821B8" w:rsidRDefault="00A821B8" w:rsidP="00A821B8">
      <w:pPr>
        <w:pStyle w:val="NoSpacing"/>
        <w:rPr>
          <w:sz w:val="24"/>
          <w:szCs w:val="24"/>
        </w:rPr>
      </w:pPr>
      <w:r>
        <w:rPr>
          <w:sz w:val="24"/>
          <w:szCs w:val="24"/>
        </w:rPr>
        <w:t>Whilst welcoming the TRA review,</w:t>
      </w:r>
      <w:r w:rsidRPr="004A3A54">
        <w:rPr>
          <w:sz w:val="24"/>
          <w:szCs w:val="24"/>
        </w:rPr>
        <w:t xml:space="preserve"> in ISTA’s view there may no longer be a need for safeguard measures</w:t>
      </w:r>
      <w:r>
        <w:rPr>
          <w:sz w:val="24"/>
          <w:szCs w:val="24"/>
        </w:rPr>
        <w:t>.</w:t>
      </w:r>
      <w:r w:rsidRPr="004A3A54">
        <w:rPr>
          <w:sz w:val="24"/>
          <w:szCs w:val="24"/>
        </w:rPr>
        <w:t xml:space="preserve">  The</w:t>
      </w:r>
      <w:r>
        <w:rPr>
          <w:sz w:val="24"/>
          <w:szCs w:val="24"/>
        </w:rPr>
        <w:t>y</w:t>
      </w:r>
      <w:r w:rsidRPr="004A3A54">
        <w:rPr>
          <w:sz w:val="24"/>
          <w:szCs w:val="24"/>
        </w:rPr>
        <w:t xml:space="preserve"> were introduced in response to US Section 232 measures to ensure that steel that would normally be shipped to America was not diverted to Europe/</w:t>
      </w:r>
      <w:r>
        <w:rPr>
          <w:sz w:val="24"/>
          <w:szCs w:val="24"/>
        </w:rPr>
        <w:t xml:space="preserve"> </w:t>
      </w:r>
      <w:r w:rsidRPr="004A3A54">
        <w:rPr>
          <w:sz w:val="24"/>
          <w:szCs w:val="24"/>
        </w:rPr>
        <w:t>the UK.  As the 232 tariffs have</w:t>
      </w:r>
      <w:r>
        <w:rPr>
          <w:sz w:val="24"/>
          <w:szCs w:val="24"/>
        </w:rPr>
        <w:t xml:space="preserve"> been removed for exports to the USA from the EU and UK these measures may no longer be required. Anti-dumping measures remain available should it be felt that there is a need to curtail what are deemed to be excessive imports.</w:t>
      </w:r>
    </w:p>
    <w:p w14:paraId="50FE1C2F" w14:textId="77777777" w:rsidR="00A821B8" w:rsidRDefault="00A821B8" w:rsidP="00A821B8">
      <w:pPr>
        <w:pStyle w:val="NoSpacing"/>
        <w:rPr>
          <w:sz w:val="24"/>
          <w:szCs w:val="24"/>
        </w:rPr>
      </w:pPr>
    </w:p>
    <w:p w14:paraId="3F8C25AB" w14:textId="77777777" w:rsidR="00A821B8" w:rsidRDefault="00A821B8" w:rsidP="00A821B8">
      <w:pPr>
        <w:pStyle w:val="NoSpacing"/>
        <w:rPr>
          <w:sz w:val="24"/>
          <w:szCs w:val="24"/>
        </w:rPr>
      </w:pPr>
      <w:r>
        <w:rPr>
          <w:sz w:val="24"/>
          <w:szCs w:val="24"/>
        </w:rPr>
        <w:t>ISTA would be happy to discuss this matter further.</w:t>
      </w:r>
    </w:p>
    <w:p w14:paraId="7E8DEEDA" w14:textId="77777777" w:rsidR="00A821B8" w:rsidRDefault="00A821B8" w:rsidP="00A821B8">
      <w:pPr>
        <w:pStyle w:val="NoSpacing"/>
        <w:rPr>
          <w:sz w:val="24"/>
          <w:szCs w:val="24"/>
        </w:rPr>
      </w:pPr>
    </w:p>
    <w:p w14:paraId="49F55A65" w14:textId="77777777" w:rsidR="001B1F09" w:rsidRDefault="001B1F09"/>
    <w:sectPr w:rsidR="001B1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B8"/>
    <w:rsid w:val="000D3659"/>
    <w:rsid w:val="001B1F09"/>
    <w:rsid w:val="00A821B8"/>
    <w:rsid w:val="00E5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47F8"/>
  <w15:chartTrackingRefBased/>
  <w15:docId w15:val="{2FDFAE01-13E8-44AF-A0C2-9D51EC40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1B8"/>
    <w:pPr>
      <w:spacing w:after="0" w:line="240" w:lineRule="auto"/>
    </w:pPr>
  </w:style>
  <w:style w:type="character" w:styleId="Hyperlink">
    <w:name w:val="Hyperlink"/>
    <w:basedOn w:val="DefaultParagraphFont"/>
    <w:uiPriority w:val="99"/>
    <w:unhideWhenUsed/>
    <w:rsid w:val="00A82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bailey</dc:creator>
  <cp:keywords/>
  <dc:description/>
  <cp:lastModifiedBy>Hugh bailey</cp:lastModifiedBy>
  <cp:revision>2</cp:revision>
  <dcterms:created xsi:type="dcterms:W3CDTF">2022-04-12T15:45:00Z</dcterms:created>
  <dcterms:modified xsi:type="dcterms:W3CDTF">2022-04-12T15:45:00Z</dcterms:modified>
</cp:coreProperties>
</file>